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3A" w:rsidRPr="00B11A3A" w:rsidRDefault="00B11A3A" w:rsidP="00B11A3A">
      <w:pPr>
        <w:jc w:val="center"/>
        <w:rPr>
          <w:rFonts w:ascii="Times New Roman" w:hAnsi="Times New Roman"/>
          <w:b/>
          <w:sz w:val="24"/>
          <w:szCs w:val="24"/>
        </w:rPr>
      </w:pPr>
      <w:r w:rsidRPr="00B11A3A">
        <w:rPr>
          <w:rFonts w:ascii="Times New Roman" w:hAnsi="Times New Roman"/>
          <w:b/>
          <w:sz w:val="24"/>
          <w:szCs w:val="24"/>
        </w:rPr>
        <w:t>Eelarvestrateegia aastateks 2022-2025 lühikokkuvõte</w:t>
      </w:r>
      <w:bookmarkStart w:id="0" w:name="_GoBack"/>
      <w:bookmarkEnd w:id="0"/>
    </w:p>
    <w:p w:rsidR="00462F86" w:rsidRDefault="00462F86" w:rsidP="00A81FE6">
      <w:pPr>
        <w:jc w:val="both"/>
        <w:rPr>
          <w:rFonts w:ascii="Times New Roman" w:hAnsi="Times New Roman"/>
          <w:sz w:val="24"/>
          <w:szCs w:val="24"/>
        </w:rPr>
      </w:pPr>
    </w:p>
    <w:p w:rsidR="00B11A3A" w:rsidRDefault="00B11A3A" w:rsidP="00A81FE6">
      <w:pPr>
        <w:jc w:val="both"/>
        <w:rPr>
          <w:rFonts w:ascii="Times New Roman" w:hAnsi="Times New Roman"/>
          <w:sz w:val="24"/>
          <w:szCs w:val="24"/>
        </w:rPr>
      </w:pPr>
      <w:r w:rsidRPr="00B11A3A">
        <w:rPr>
          <w:rFonts w:ascii="Times New Roman" w:hAnsi="Times New Roman"/>
          <w:sz w:val="24"/>
          <w:szCs w:val="24"/>
        </w:rPr>
        <w:t>Eelarvestrateegia on arengukavast tulenev selgitustega finantsplaan, mis on arengukava osa. Kuna olemuslikult on tegemist arengukava neljanda osaga, algab ka eelarvestrateegia peatükkide numeratsioon numbriga neli.</w:t>
      </w:r>
      <w:r>
        <w:rPr>
          <w:rFonts w:ascii="Times New Roman" w:hAnsi="Times New Roman"/>
          <w:sz w:val="24"/>
          <w:szCs w:val="24"/>
        </w:rPr>
        <w:t xml:space="preserve"> </w:t>
      </w:r>
      <w:r w:rsidRPr="00B11A3A">
        <w:rPr>
          <w:rFonts w:ascii="Times New Roman" w:hAnsi="Times New Roman"/>
          <w:sz w:val="24"/>
          <w:szCs w:val="24"/>
        </w:rPr>
        <w:t>Arengukava koos eelarvestrateegiaga on aluseks kohaliku omavalitsuse üksuse eelarve koostamisel, kohustuste võtmisel, varaga tehingute tegemisel, investeeringute kavandamisel ning investeeringuteks toetuse taotlemisel.</w:t>
      </w:r>
    </w:p>
    <w:p w:rsidR="00462F86" w:rsidRDefault="00462F86" w:rsidP="00A81FE6">
      <w:pPr>
        <w:jc w:val="both"/>
        <w:rPr>
          <w:rFonts w:ascii="Times New Roman" w:hAnsi="Times New Roman"/>
          <w:sz w:val="24"/>
          <w:szCs w:val="24"/>
        </w:rPr>
      </w:pPr>
      <w:r>
        <w:rPr>
          <w:rFonts w:ascii="Times New Roman" w:hAnsi="Times New Roman"/>
          <w:sz w:val="24"/>
          <w:szCs w:val="24"/>
        </w:rPr>
        <w:t>Eelarvestrateegia põhilised makromajanduslikud eeldused on järgmised.</w:t>
      </w:r>
    </w:p>
    <w:tbl>
      <w:tblPr>
        <w:tblW w:w="9015" w:type="dxa"/>
        <w:tblInd w:w="70" w:type="dxa"/>
        <w:tblCellMar>
          <w:left w:w="70" w:type="dxa"/>
          <w:right w:w="70" w:type="dxa"/>
        </w:tblCellMar>
        <w:tblLook w:val="04A0" w:firstRow="1" w:lastRow="0" w:firstColumn="1" w:lastColumn="0" w:noHBand="0" w:noVBand="1"/>
      </w:tblPr>
      <w:tblGrid>
        <w:gridCol w:w="2835"/>
        <w:gridCol w:w="1476"/>
        <w:gridCol w:w="1176"/>
        <w:gridCol w:w="1176"/>
        <w:gridCol w:w="1176"/>
        <w:gridCol w:w="1176"/>
      </w:tblGrid>
      <w:tr w:rsidR="00462F86" w:rsidRPr="00E64453" w:rsidTr="00E628D1">
        <w:trPr>
          <w:trHeight w:val="330"/>
        </w:trPr>
        <w:tc>
          <w:tcPr>
            <w:tcW w:w="2835" w:type="dxa"/>
            <w:tcBorders>
              <w:top w:val="nil"/>
              <w:left w:val="nil"/>
              <w:bottom w:val="single" w:sz="8" w:space="0" w:color="000000"/>
              <w:right w:val="nil"/>
            </w:tcBorders>
            <w:shd w:val="clear" w:color="auto" w:fill="auto"/>
            <w:noWrap/>
            <w:vAlign w:val="bottom"/>
            <w:hideMark/>
          </w:tcPr>
          <w:p w:rsidR="00462F86" w:rsidRPr="00E64453" w:rsidRDefault="00462F86" w:rsidP="00E628D1">
            <w:pPr>
              <w:spacing w:after="0" w:line="240" w:lineRule="auto"/>
              <w:rPr>
                <w:rFonts w:ascii="Times New Roman" w:eastAsia="Times New Roman" w:hAnsi="Times New Roman"/>
                <w:b/>
                <w:bCs/>
                <w:lang w:eastAsia="et-EE"/>
              </w:rPr>
            </w:pPr>
          </w:p>
        </w:tc>
        <w:tc>
          <w:tcPr>
            <w:tcW w:w="1476" w:type="dxa"/>
            <w:tcBorders>
              <w:top w:val="nil"/>
              <w:left w:val="nil"/>
              <w:bottom w:val="single" w:sz="8" w:space="0" w:color="000000"/>
              <w:right w:val="nil"/>
            </w:tcBorders>
            <w:shd w:val="clear" w:color="auto" w:fill="auto"/>
            <w:noWrap/>
            <w:vAlign w:val="bottom"/>
            <w:hideMark/>
          </w:tcPr>
          <w:p w:rsidR="00462F86" w:rsidRPr="00E64453" w:rsidRDefault="00462F86" w:rsidP="00E628D1">
            <w:pPr>
              <w:spacing w:after="0" w:line="240" w:lineRule="auto"/>
              <w:jc w:val="center"/>
              <w:rPr>
                <w:rFonts w:ascii="Times New Roman" w:eastAsia="Times New Roman" w:hAnsi="Times New Roman"/>
                <w:b/>
                <w:bCs/>
                <w:lang w:eastAsia="et-EE"/>
              </w:rPr>
            </w:pPr>
            <w:r w:rsidRPr="00E64453">
              <w:rPr>
                <w:rFonts w:ascii="Times New Roman" w:eastAsia="Times New Roman" w:hAnsi="Times New Roman"/>
                <w:b/>
                <w:bCs/>
                <w:lang w:eastAsia="et-EE"/>
              </w:rPr>
              <w:t>2021</w:t>
            </w:r>
          </w:p>
        </w:tc>
        <w:tc>
          <w:tcPr>
            <w:tcW w:w="1176" w:type="dxa"/>
            <w:tcBorders>
              <w:top w:val="nil"/>
              <w:left w:val="nil"/>
              <w:bottom w:val="single" w:sz="8" w:space="0" w:color="000000"/>
              <w:right w:val="nil"/>
            </w:tcBorders>
            <w:shd w:val="clear" w:color="auto" w:fill="auto"/>
            <w:noWrap/>
            <w:vAlign w:val="bottom"/>
            <w:hideMark/>
          </w:tcPr>
          <w:p w:rsidR="00462F86" w:rsidRPr="00E64453" w:rsidRDefault="00462F86" w:rsidP="00E628D1">
            <w:pPr>
              <w:spacing w:after="0" w:line="240" w:lineRule="auto"/>
              <w:jc w:val="center"/>
              <w:rPr>
                <w:rFonts w:ascii="Times New Roman" w:eastAsia="Times New Roman" w:hAnsi="Times New Roman"/>
                <w:b/>
                <w:bCs/>
                <w:lang w:eastAsia="et-EE"/>
              </w:rPr>
            </w:pPr>
            <w:r w:rsidRPr="00E64453">
              <w:rPr>
                <w:rFonts w:ascii="Times New Roman" w:eastAsia="Times New Roman" w:hAnsi="Times New Roman"/>
                <w:b/>
                <w:bCs/>
                <w:lang w:eastAsia="et-EE"/>
              </w:rPr>
              <w:t>2022</w:t>
            </w:r>
          </w:p>
        </w:tc>
        <w:tc>
          <w:tcPr>
            <w:tcW w:w="1176" w:type="dxa"/>
            <w:tcBorders>
              <w:top w:val="nil"/>
              <w:left w:val="nil"/>
              <w:bottom w:val="single" w:sz="8" w:space="0" w:color="auto"/>
              <w:right w:val="nil"/>
            </w:tcBorders>
            <w:shd w:val="clear" w:color="auto" w:fill="auto"/>
            <w:noWrap/>
            <w:vAlign w:val="bottom"/>
            <w:hideMark/>
          </w:tcPr>
          <w:p w:rsidR="00462F86" w:rsidRPr="00E64453" w:rsidRDefault="00462F86" w:rsidP="00E628D1">
            <w:pPr>
              <w:spacing w:after="0" w:line="240" w:lineRule="auto"/>
              <w:jc w:val="center"/>
              <w:rPr>
                <w:rFonts w:ascii="Times New Roman" w:eastAsia="Times New Roman" w:hAnsi="Times New Roman"/>
                <w:b/>
                <w:bCs/>
                <w:lang w:eastAsia="et-EE"/>
              </w:rPr>
            </w:pPr>
            <w:r w:rsidRPr="00E64453">
              <w:rPr>
                <w:rFonts w:ascii="Times New Roman" w:eastAsia="Times New Roman" w:hAnsi="Times New Roman"/>
                <w:b/>
                <w:bCs/>
                <w:lang w:eastAsia="et-EE"/>
              </w:rPr>
              <w:t>2023</w:t>
            </w:r>
          </w:p>
        </w:tc>
        <w:tc>
          <w:tcPr>
            <w:tcW w:w="1176" w:type="dxa"/>
            <w:tcBorders>
              <w:top w:val="nil"/>
              <w:left w:val="nil"/>
              <w:bottom w:val="single" w:sz="8" w:space="0" w:color="auto"/>
              <w:right w:val="nil"/>
            </w:tcBorders>
            <w:shd w:val="clear" w:color="auto" w:fill="auto"/>
            <w:noWrap/>
            <w:vAlign w:val="bottom"/>
            <w:hideMark/>
          </w:tcPr>
          <w:p w:rsidR="00462F86" w:rsidRPr="00E64453" w:rsidRDefault="00462F86" w:rsidP="00E628D1">
            <w:pPr>
              <w:spacing w:after="0" w:line="240" w:lineRule="auto"/>
              <w:jc w:val="center"/>
              <w:rPr>
                <w:rFonts w:ascii="Times New Roman" w:eastAsia="Times New Roman" w:hAnsi="Times New Roman"/>
                <w:b/>
                <w:bCs/>
                <w:lang w:eastAsia="et-EE"/>
              </w:rPr>
            </w:pPr>
            <w:r w:rsidRPr="00E64453">
              <w:rPr>
                <w:rFonts w:ascii="Times New Roman" w:eastAsia="Times New Roman" w:hAnsi="Times New Roman"/>
                <w:b/>
                <w:bCs/>
                <w:lang w:eastAsia="et-EE"/>
              </w:rPr>
              <w:t>2024</w:t>
            </w:r>
          </w:p>
        </w:tc>
        <w:tc>
          <w:tcPr>
            <w:tcW w:w="1176" w:type="dxa"/>
            <w:tcBorders>
              <w:top w:val="nil"/>
              <w:left w:val="nil"/>
              <w:bottom w:val="single" w:sz="8" w:space="0" w:color="auto"/>
              <w:right w:val="nil"/>
            </w:tcBorders>
            <w:shd w:val="clear" w:color="auto" w:fill="auto"/>
            <w:noWrap/>
            <w:vAlign w:val="bottom"/>
            <w:hideMark/>
          </w:tcPr>
          <w:p w:rsidR="00462F86" w:rsidRPr="00E64453" w:rsidRDefault="00462F86" w:rsidP="00E628D1">
            <w:pPr>
              <w:spacing w:after="0" w:line="240" w:lineRule="auto"/>
              <w:jc w:val="center"/>
              <w:rPr>
                <w:rFonts w:ascii="Times New Roman" w:eastAsia="Times New Roman" w:hAnsi="Times New Roman"/>
                <w:b/>
                <w:bCs/>
                <w:lang w:eastAsia="et-EE"/>
              </w:rPr>
            </w:pPr>
            <w:r w:rsidRPr="00E64453">
              <w:rPr>
                <w:rFonts w:ascii="Times New Roman" w:eastAsia="Times New Roman" w:hAnsi="Times New Roman"/>
                <w:b/>
                <w:bCs/>
                <w:lang w:eastAsia="et-EE"/>
              </w:rPr>
              <w:t>2025</w:t>
            </w:r>
          </w:p>
        </w:tc>
      </w:tr>
      <w:tr w:rsidR="00462F86" w:rsidRPr="00E64453" w:rsidTr="00E628D1">
        <w:trPr>
          <w:trHeight w:val="300"/>
        </w:trPr>
        <w:tc>
          <w:tcPr>
            <w:tcW w:w="2835"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rPr>
                <w:rFonts w:ascii="Times New Roman" w:eastAsia="Times New Roman" w:hAnsi="Times New Roman"/>
                <w:iCs/>
                <w:lang w:eastAsia="et-EE"/>
              </w:rPr>
            </w:pPr>
            <w:r w:rsidRPr="00E64453">
              <w:rPr>
                <w:rFonts w:ascii="Times New Roman" w:eastAsia="Times New Roman" w:hAnsi="Times New Roman"/>
                <w:iCs/>
                <w:lang w:eastAsia="et-EE"/>
              </w:rPr>
              <w:t>SKP reaalkasv</w:t>
            </w:r>
          </w:p>
        </w:tc>
        <w:tc>
          <w:tcPr>
            <w:tcW w:w="14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2,5%</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4,8%</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3,2%</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3,1%</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2,9%</w:t>
            </w:r>
          </w:p>
        </w:tc>
      </w:tr>
      <w:tr w:rsidR="00462F86" w:rsidRPr="00E64453" w:rsidTr="00E628D1">
        <w:trPr>
          <w:trHeight w:val="255"/>
        </w:trPr>
        <w:tc>
          <w:tcPr>
            <w:tcW w:w="2835"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rPr>
                <w:rFonts w:ascii="Times New Roman" w:eastAsia="Times New Roman" w:hAnsi="Times New Roman"/>
                <w:iCs/>
                <w:lang w:eastAsia="et-EE"/>
              </w:rPr>
            </w:pPr>
            <w:r w:rsidRPr="00E64453">
              <w:rPr>
                <w:rFonts w:ascii="Times New Roman" w:eastAsia="Times New Roman" w:hAnsi="Times New Roman"/>
                <w:iCs/>
                <w:lang w:eastAsia="et-EE"/>
              </w:rPr>
              <w:t>Tarbijahinnaindeks</w:t>
            </w:r>
          </w:p>
        </w:tc>
        <w:tc>
          <w:tcPr>
            <w:tcW w:w="14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2,0%</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2,1%</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2,0%</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1,9%</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1,9%</w:t>
            </w:r>
          </w:p>
        </w:tc>
      </w:tr>
      <w:tr w:rsidR="00462F86" w:rsidRPr="00E64453" w:rsidTr="00E628D1">
        <w:trPr>
          <w:trHeight w:val="255"/>
        </w:trPr>
        <w:tc>
          <w:tcPr>
            <w:tcW w:w="2835"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rPr>
                <w:rFonts w:ascii="Times New Roman" w:eastAsia="Times New Roman" w:hAnsi="Times New Roman"/>
                <w:iCs/>
                <w:lang w:eastAsia="et-EE"/>
              </w:rPr>
            </w:pPr>
            <w:r w:rsidRPr="00E64453">
              <w:rPr>
                <w:rFonts w:ascii="Times New Roman" w:eastAsia="Times New Roman" w:hAnsi="Times New Roman"/>
                <w:iCs/>
                <w:lang w:eastAsia="et-EE"/>
              </w:rPr>
              <w:t>Tööhõive kasv</w:t>
            </w:r>
          </w:p>
        </w:tc>
        <w:tc>
          <w:tcPr>
            <w:tcW w:w="14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-0,9%</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0,8%</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0,6%</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0,4%</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0,2%</w:t>
            </w:r>
          </w:p>
        </w:tc>
      </w:tr>
      <w:tr w:rsidR="00462F86" w:rsidRPr="00E64453" w:rsidTr="00E628D1">
        <w:trPr>
          <w:trHeight w:val="255"/>
        </w:trPr>
        <w:tc>
          <w:tcPr>
            <w:tcW w:w="2835"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rPr>
                <w:rFonts w:ascii="Times New Roman" w:eastAsia="Times New Roman" w:hAnsi="Times New Roman"/>
                <w:iCs/>
                <w:lang w:eastAsia="et-EE"/>
              </w:rPr>
            </w:pPr>
            <w:r w:rsidRPr="00E64453">
              <w:rPr>
                <w:rFonts w:ascii="Times New Roman" w:eastAsia="Times New Roman" w:hAnsi="Times New Roman"/>
                <w:iCs/>
                <w:lang w:eastAsia="et-EE"/>
              </w:rPr>
              <w:t>Keskmine kuupalk (EUR)</w:t>
            </w:r>
          </w:p>
        </w:tc>
        <w:tc>
          <w:tcPr>
            <w:tcW w:w="14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1 481,0</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1 562,0</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1 647,0</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1 727,7</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1 808,9</w:t>
            </w:r>
          </w:p>
        </w:tc>
      </w:tr>
      <w:tr w:rsidR="00462F86" w:rsidRPr="00E64453" w:rsidTr="00E628D1">
        <w:trPr>
          <w:trHeight w:val="255"/>
        </w:trPr>
        <w:tc>
          <w:tcPr>
            <w:tcW w:w="2835"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rPr>
                <w:rFonts w:ascii="Times New Roman" w:eastAsia="Times New Roman" w:hAnsi="Times New Roman"/>
                <w:iCs/>
                <w:lang w:eastAsia="et-EE"/>
              </w:rPr>
            </w:pPr>
            <w:r w:rsidRPr="00E64453">
              <w:rPr>
                <w:rFonts w:ascii="Times New Roman" w:eastAsia="Times New Roman" w:hAnsi="Times New Roman"/>
                <w:iCs/>
                <w:lang w:eastAsia="et-EE"/>
              </w:rPr>
              <w:t>Palga nominaalkasv</w:t>
            </w:r>
          </w:p>
        </w:tc>
        <w:tc>
          <w:tcPr>
            <w:tcW w:w="14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3,9%</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5,6%</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5,1%</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4,9%</w:t>
            </w:r>
          </w:p>
        </w:tc>
        <w:tc>
          <w:tcPr>
            <w:tcW w:w="1176" w:type="dxa"/>
            <w:tcBorders>
              <w:top w:val="nil"/>
              <w:left w:val="nil"/>
              <w:bottom w:val="nil"/>
              <w:right w:val="nil"/>
            </w:tcBorders>
            <w:shd w:val="clear" w:color="auto" w:fill="auto"/>
            <w:noWrap/>
            <w:vAlign w:val="bottom"/>
            <w:hideMark/>
          </w:tcPr>
          <w:p w:rsidR="00462F86" w:rsidRPr="00E64453" w:rsidRDefault="00462F86" w:rsidP="00E628D1">
            <w:pPr>
              <w:spacing w:after="0" w:line="240" w:lineRule="auto"/>
              <w:jc w:val="right"/>
              <w:rPr>
                <w:rFonts w:ascii="Times New Roman" w:eastAsia="Times New Roman" w:hAnsi="Times New Roman"/>
                <w:iCs/>
                <w:lang w:eastAsia="et-EE"/>
              </w:rPr>
            </w:pPr>
            <w:r w:rsidRPr="00E64453">
              <w:rPr>
                <w:rFonts w:ascii="Times New Roman" w:eastAsia="Times New Roman" w:hAnsi="Times New Roman"/>
                <w:iCs/>
                <w:lang w:eastAsia="et-EE"/>
              </w:rPr>
              <w:t>4,7%</w:t>
            </w:r>
          </w:p>
        </w:tc>
      </w:tr>
    </w:tbl>
    <w:p w:rsidR="00462F86" w:rsidRPr="00B11A3A" w:rsidRDefault="00462F86" w:rsidP="00A81FE6">
      <w:pPr>
        <w:jc w:val="both"/>
        <w:rPr>
          <w:rFonts w:ascii="Times New Roman" w:hAnsi="Times New Roman"/>
          <w:sz w:val="24"/>
          <w:szCs w:val="24"/>
        </w:rPr>
      </w:pPr>
    </w:p>
    <w:p w:rsidR="00462F86" w:rsidRPr="002270F0" w:rsidRDefault="00462F86" w:rsidP="00462F86">
      <w:pPr>
        <w:spacing w:before="120"/>
        <w:jc w:val="both"/>
        <w:rPr>
          <w:rFonts w:ascii="Times New Roman" w:hAnsi="Times New Roman"/>
        </w:rPr>
      </w:pPr>
      <w:r>
        <w:rPr>
          <w:rFonts w:ascii="Times New Roman" w:hAnsi="Times New Roman"/>
        </w:rPr>
        <w:t xml:space="preserve">Ülaltoodud eeldustel </w:t>
      </w:r>
      <w:r w:rsidRPr="002270F0">
        <w:rPr>
          <w:rFonts w:ascii="Times New Roman" w:hAnsi="Times New Roman"/>
        </w:rPr>
        <w:t>baseer</w:t>
      </w:r>
      <w:r>
        <w:rPr>
          <w:rFonts w:ascii="Times New Roman" w:hAnsi="Times New Roman"/>
        </w:rPr>
        <w:t>uvad põhilised</w:t>
      </w:r>
      <w:r w:rsidRPr="002270F0">
        <w:rPr>
          <w:rFonts w:ascii="Times New Roman" w:hAnsi="Times New Roman"/>
        </w:rPr>
        <w:t xml:space="preserve"> </w:t>
      </w:r>
      <w:r>
        <w:rPr>
          <w:rFonts w:ascii="Times New Roman" w:hAnsi="Times New Roman"/>
        </w:rPr>
        <w:t xml:space="preserve">finantsnäitajad </w:t>
      </w:r>
      <w:r w:rsidRPr="002270F0">
        <w:rPr>
          <w:rFonts w:ascii="Times New Roman" w:hAnsi="Times New Roman"/>
        </w:rPr>
        <w:t>on esitatud alljärgnevas tabelis.</w:t>
      </w:r>
    </w:p>
    <w:tbl>
      <w:tblPr>
        <w:tblW w:w="9680" w:type="dxa"/>
        <w:tblInd w:w="80" w:type="dxa"/>
        <w:tblCellMar>
          <w:left w:w="70" w:type="dxa"/>
          <w:right w:w="70" w:type="dxa"/>
        </w:tblCellMar>
        <w:tblLook w:val="04A0" w:firstRow="1" w:lastRow="0" w:firstColumn="1" w:lastColumn="0" w:noHBand="0" w:noVBand="1"/>
      </w:tblPr>
      <w:tblGrid>
        <w:gridCol w:w="4872"/>
        <w:gridCol w:w="1209"/>
        <w:gridCol w:w="1209"/>
        <w:gridCol w:w="1209"/>
        <w:gridCol w:w="1181"/>
      </w:tblGrid>
      <w:tr w:rsidR="00462F86" w:rsidRPr="007156CE" w:rsidTr="00E628D1">
        <w:trPr>
          <w:trHeight w:val="270"/>
        </w:trPr>
        <w:tc>
          <w:tcPr>
            <w:tcW w:w="48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62F86" w:rsidRPr="007156CE" w:rsidRDefault="00462F86" w:rsidP="00E628D1">
            <w:pPr>
              <w:spacing w:after="0" w:line="240" w:lineRule="auto"/>
              <w:jc w:val="center"/>
              <w:rPr>
                <w:rFonts w:ascii="Times New Roman" w:eastAsia="Times New Roman" w:hAnsi="Times New Roman"/>
                <w:b/>
                <w:bCs/>
                <w:sz w:val="20"/>
                <w:szCs w:val="20"/>
                <w:lang w:eastAsia="et-EE"/>
              </w:rPr>
            </w:pPr>
          </w:p>
        </w:tc>
        <w:tc>
          <w:tcPr>
            <w:tcW w:w="1209" w:type="dxa"/>
            <w:tcBorders>
              <w:top w:val="single" w:sz="8" w:space="0" w:color="auto"/>
              <w:left w:val="nil"/>
              <w:bottom w:val="single" w:sz="8" w:space="0" w:color="auto"/>
              <w:right w:val="single" w:sz="4" w:space="0" w:color="auto"/>
            </w:tcBorders>
            <w:shd w:val="clear" w:color="auto" w:fill="auto"/>
            <w:vAlign w:val="bottom"/>
            <w:hideMark/>
          </w:tcPr>
          <w:p w:rsidR="00462F86" w:rsidRPr="007156CE" w:rsidRDefault="00462F86" w:rsidP="00E628D1">
            <w:pPr>
              <w:spacing w:after="0" w:line="240" w:lineRule="auto"/>
              <w:jc w:val="center"/>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2022</w:t>
            </w:r>
          </w:p>
        </w:tc>
        <w:tc>
          <w:tcPr>
            <w:tcW w:w="1209" w:type="dxa"/>
            <w:tcBorders>
              <w:top w:val="single" w:sz="8" w:space="0" w:color="auto"/>
              <w:left w:val="nil"/>
              <w:bottom w:val="single" w:sz="8" w:space="0" w:color="auto"/>
              <w:right w:val="single" w:sz="4" w:space="0" w:color="auto"/>
            </w:tcBorders>
            <w:shd w:val="clear" w:color="auto" w:fill="auto"/>
            <w:vAlign w:val="bottom"/>
            <w:hideMark/>
          </w:tcPr>
          <w:p w:rsidR="00462F86" w:rsidRPr="007156CE" w:rsidRDefault="00462F86" w:rsidP="00E628D1">
            <w:pPr>
              <w:spacing w:after="0" w:line="240" w:lineRule="auto"/>
              <w:jc w:val="center"/>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2023</w:t>
            </w:r>
          </w:p>
        </w:tc>
        <w:tc>
          <w:tcPr>
            <w:tcW w:w="1209" w:type="dxa"/>
            <w:tcBorders>
              <w:top w:val="single" w:sz="8" w:space="0" w:color="auto"/>
              <w:left w:val="nil"/>
              <w:bottom w:val="single" w:sz="8" w:space="0" w:color="auto"/>
              <w:right w:val="single" w:sz="4" w:space="0" w:color="auto"/>
            </w:tcBorders>
            <w:shd w:val="clear" w:color="auto" w:fill="auto"/>
            <w:vAlign w:val="bottom"/>
            <w:hideMark/>
          </w:tcPr>
          <w:p w:rsidR="00462F86" w:rsidRPr="007156CE" w:rsidRDefault="00462F86" w:rsidP="00E628D1">
            <w:pPr>
              <w:spacing w:after="0" w:line="240" w:lineRule="auto"/>
              <w:jc w:val="center"/>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2024</w:t>
            </w:r>
          </w:p>
        </w:tc>
        <w:tc>
          <w:tcPr>
            <w:tcW w:w="1181" w:type="dxa"/>
            <w:tcBorders>
              <w:top w:val="single" w:sz="8" w:space="0" w:color="auto"/>
              <w:left w:val="nil"/>
              <w:bottom w:val="single" w:sz="8" w:space="0" w:color="auto"/>
              <w:right w:val="single" w:sz="4" w:space="0" w:color="auto"/>
            </w:tcBorders>
            <w:shd w:val="clear" w:color="auto" w:fill="auto"/>
            <w:vAlign w:val="bottom"/>
            <w:hideMark/>
          </w:tcPr>
          <w:p w:rsidR="00462F86" w:rsidRPr="007156CE" w:rsidRDefault="00462F86" w:rsidP="00E628D1">
            <w:pPr>
              <w:spacing w:after="0" w:line="240" w:lineRule="auto"/>
              <w:jc w:val="center"/>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2025</w:t>
            </w:r>
          </w:p>
        </w:tc>
      </w:tr>
      <w:tr w:rsidR="00462F86" w:rsidRPr="007156CE" w:rsidTr="00E628D1">
        <w:trPr>
          <w:trHeight w:val="300"/>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Põhitegevuse tulud kokku</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184 498 000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190 953 000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198 652 000</w:t>
            </w:r>
          </w:p>
        </w:tc>
        <w:tc>
          <w:tcPr>
            <w:tcW w:w="1181" w:type="dxa"/>
            <w:tcBorders>
              <w:top w:val="nil"/>
              <w:left w:val="nil"/>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206 810 000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Maksutulud</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105 402 000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111 233 000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116 962 000</w:t>
            </w:r>
          </w:p>
        </w:tc>
        <w:tc>
          <w:tcPr>
            <w:tcW w:w="1181" w:type="dxa"/>
            <w:tcBorders>
              <w:top w:val="nil"/>
              <w:left w:val="nil"/>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122 542 000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sh tulumaks</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101 705 000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107 502 000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113 199 000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118 746 000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sh maamaks</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2 000 000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2 000 000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sh muud maksutulud</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1 697 000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1 731 000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1 763 000</w:t>
            </w:r>
          </w:p>
        </w:tc>
        <w:tc>
          <w:tcPr>
            <w:tcW w:w="1181"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1 796 000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Tulud kaupade ja teenuste müügist</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21 040 000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21 462 000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21 869 000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22 284 000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Saadavad toetused tegevuskuludeks</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57 256 000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57 458 000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59 021 000</w:t>
            </w:r>
          </w:p>
        </w:tc>
        <w:tc>
          <w:tcPr>
            <w:tcW w:w="1181" w:type="dxa"/>
            <w:tcBorders>
              <w:top w:val="nil"/>
              <w:left w:val="nil"/>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61 184 000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Muud tegevustulud</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800 000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800 000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Põhitegevuse kulud kokku</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166 000 000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170 000 000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176 412 000</w:t>
            </w:r>
          </w:p>
        </w:tc>
        <w:tc>
          <w:tcPr>
            <w:tcW w:w="1181" w:type="dxa"/>
            <w:tcBorders>
              <w:top w:val="nil"/>
              <w:left w:val="nil"/>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177 725 000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Antavad toetused tegevuskuludeks</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21 500 000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21 500 000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22 400 000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19 000 000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Muud tegevuskulud</w:t>
            </w:r>
          </w:p>
        </w:tc>
        <w:tc>
          <w:tcPr>
            <w:tcW w:w="1209" w:type="dxa"/>
            <w:tcBorders>
              <w:top w:val="nil"/>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144 500 000</w:t>
            </w:r>
          </w:p>
        </w:tc>
        <w:tc>
          <w:tcPr>
            <w:tcW w:w="1209" w:type="dxa"/>
            <w:tcBorders>
              <w:top w:val="nil"/>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148 500 000</w:t>
            </w:r>
          </w:p>
        </w:tc>
        <w:tc>
          <w:tcPr>
            <w:tcW w:w="1209" w:type="dxa"/>
            <w:tcBorders>
              <w:top w:val="nil"/>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154 012 000</w:t>
            </w:r>
          </w:p>
        </w:tc>
        <w:tc>
          <w:tcPr>
            <w:tcW w:w="1181" w:type="dxa"/>
            <w:tcBorders>
              <w:top w:val="nil"/>
              <w:left w:val="single" w:sz="4" w:space="0" w:color="auto"/>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158 725 000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sh personalikulud</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86 000 000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90 000 000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94 410 000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98 000 000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000000"/>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sh majandamiskulud</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58 000 000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58 000 000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59 102 000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60 225 000</w:t>
            </w:r>
          </w:p>
        </w:tc>
      </w:tr>
      <w:tr w:rsidR="00462F86" w:rsidRPr="007156CE" w:rsidTr="00E628D1">
        <w:trPr>
          <w:trHeight w:val="255"/>
        </w:trPr>
        <w:tc>
          <w:tcPr>
            <w:tcW w:w="4872" w:type="dxa"/>
            <w:tcBorders>
              <w:top w:val="nil"/>
              <w:left w:val="single" w:sz="8" w:space="0" w:color="auto"/>
              <w:bottom w:val="single" w:sz="4" w:space="0" w:color="000000"/>
              <w:right w:val="single" w:sz="4" w:space="0" w:color="auto"/>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sh muud kulud</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500 000</w:t>
            </w:r>
          </w:p>
        </w:tc>
        <w:tc>
          <w:tcPr>
            <w:tcW w:w="1181"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500 000</w:t>
            </w:r>
          </w:p>
        </w:tc>
      </w:tr>
      <w:tr w:rsidR="00462F86" w:rsidRPr="007156CE" w:rsidTr="00E628D1">
        <w:trPr>
          <w:trHeight w:val="255"/>
        </w:trPr>
        <w:tc>
          <w:tcPr>
            <w:tcW w:w="4872" w:type="dxa"/>
            <w:tcBorders>
              <w:top w:val="nil"/>
              <w:left w:val="single" w:sz="8" w:space="0" w:color="auto"/>
              <w:bottom w:val="nil"/>
              <w:right w:val="single" w:sz="4" w:space="0" w:color="auto"/>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Põhitegevuse tulem</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18 498 000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20 953 000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22 240 000</w:t>
            </w:r>
          </w:p>
        </w:tc>
        <w:tc>
          <w:tcPr>
            <w:tcW w:w="1181" w:type="dxa"/>
            <w:tcBorders>
              <w:top w:val="nil"/>
              <w:left w:val="nil"/>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29 085 000</w:t>
            </w:r>
          </w:p>
        </w:tc>
      </w:tr>
      <w:tr w:rsidR="00462F86" w:rsidRPr="007156CE" w:rsidTr="00E628D1">
        <w:trPr>
          <w:trHeight w:val="255"/>
        </w:trPr>
        <w:tc>
          <w:tcPr>
            <w:tcW w:w="487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Investeerimistegevus kokku</w:t>
            </w:r>
          </w:p>
        </w:tc>
        <w:tc>
          <w:tcPr>
            <w:tcW w:w="1209" w:type="dxa"/>
            <w:tcBorders>
              <w:top w:val="single" w:sz="4" w:space="0" w:color="auto"/>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-23 851 000</w:t>
            </w:r>
          </w:p>
        </w:tc>
        <w:tc>
          <w:tcPr>
            <w:tcW w:w="1209" w:type="dxa"/>
            <w:tcBorders>
              <w:top w:val="nil"/>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-28 087 000</w:t>
            </w:r>
          </w:p>
        </w:tc>
        <w:tc>
          <w:tcPr>
            <w:tcW w:w="1209" w:type="dxa"/>
            <w:tcBorders>
              <w:top w:val="nil"/>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-23 731 040</w:t>
            </w:r>
          </w:p>
        </w:tc>
        <w:tc>
          <w:tcPr>
            <w:tcW w:w="1181" w:type="dxa"/>
            <w:tcBorders>
              <w:top w:val="nil"/>
              <w:left w:val="single" w:sz="4" w:space="0" w:color="auto"/>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-26 483 000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Põhivara müük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3 000 000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2 500 000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2 000 000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2 000 000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Põhivara soetus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-35 389 000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-43 254 000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-36 348 040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-39 165 000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color w:val="000000"/>
                <w:sz w:val="20"/>
                <w:szCs w:val="20"/>
                <w:lang w:eastAsia="et-EE"/>
              </w:rPr>
            </w:pPr>
            <w:r w:rsidRPr="007156CE">
              <w:rPr>
                <w:rFonts w:ascii="Times New Roman" w:eastAsia="Times New Roman" w:hAnsi="Times New Roman"/>
                <w:color w:val="000000"/>
                <w:sz w:val="20"/>
                <w:szCs w:val="20"/>
                <w:lang w:eastAsia="et-EE"/>
              </w:rPr>
              <w:t xml:space="preserve">   Põhivara soetuseks saadav sihtfinantseerimine (+)</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10 000 000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14 000 000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12 000 000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12 000 000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Põhivara soetuseks antav sihtfinantseerimine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-969 000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-847 000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-897 000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-832 000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Finantstulud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507 000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514 000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514 000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514 000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Finantskulud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-1 000 000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-1 000 000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Eelarve tulem</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-5 353 000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-7 134 000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-1 491 040</w:t>
            </w:r>
          </w:p>
        </w:tc>
        <w:tc>
          <w:tcPr>
            <w:tcW w:w="1181" w:type="dxa"/>
            <w:tcBorders>
              <w:top w:val="nil"/>
              <w:left w:val="nil"/>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2 602 000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Finantseerimistegevus</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6 000 000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5 000 000</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1 500 000</w:t>
            </w:r>
          </w:p>
        </w:tc>
        <w:tc>
          <w:tcPr>
            <w:tcW w:w="1181" w:type="dxa"/>
            <w:tcBorders>
              <w:top w:val="nil"/>
              <w:left w:val="nil"/>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-2 600 000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Kohustiste võtmine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15 000 000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14 000 000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10 500 000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6 400 000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 xml:space="preserve">   Kohustiste tasumine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-9 000 000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-9 000 000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-9 000 000</w:t>
            </w:r>
          </w:p>
        </w:tc>
      </w:tr>
      <w:tr w:rsidR="00462F86" w:rsidRPr="007156CE" w:rsidTr="00E628D1">
        <w:trPr>
          <w:trHeight w:val="214"/>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 xml:space="preserve">Likviidsete varade muutus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647 000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-2 134 000</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8 960</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2 000</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Võlakohustised kokku aasta lõpu seisuga</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105 797 542</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110 797 542</w:t>
            </w:r>
          </w:p>
        </w:tc>
        <w:tc>
          <w:tcPr>
            <w:tcW w:w="1209" w:type="dxa"/>
            <w:tcBorders>
              <w:top w:val="nil"/>
              <w:left w:val="nil"/>
              <w:bottom w:val="single" w:sz="4" w:space="0" w:color="auto"/>
              <w:right w:val="single" w:sz="4"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112 297 542</w:t>
            </w:r>
          </w:p>
        </w:tc>
        <w:tc>
          <w:tcPr>
            <w:tcW w:w="1181" w:type="dxa"/>
            <w:tcBorders>
              <w:top w:val="nil"/>
              <w:left w:val="nil"/>
              <w:bottom w:val="single" w:sz="4" w:space="0" w:color="auto"/>
              <w:right w:val="single" w:sz="8" w:space="0" w:color="auto"/>
            </w:tcBorders>
            <w:shd w:val="clear" w:color="auto" w:fill="auto"/>
            <w:noWrap/>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109 697 542</w:t>
            </w:r>
          </w:p>
        </w:tc>
      </w:tr>
      <w:tr w:rsidR="00462F86" w:rsidRPr="007156CE" w:rsidTr="00E628D1">
        <w:trPr>
          <w:trHeight w:val="255"/>
        </w:trPr>
        <w:tc>
          <w:tcPr>
            <w:tcW w:w="487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Netovõlakoormus (</w:t>
            </w:r>
            <w:r w:rsidRPr="007156CE">
              <w:rPr>
                <w:rFonts w:ascii="Times New Roman" w:eastAsia="Times New Roman" w:hAnsi="Times New Roman"/>
                <w:b/>
                <w:bCs/>
                <w:sz w:val="20"/>
                <w:szCs w:val="20"/>
                <w:u w:val="single"/>
                <w:lang w:eastAsia="et-EE"/>
              </w:rPr>
              <w:t>eurodes</w:t>
            </w:r>
            <w:r w:rsidRPr="007156CE">
              <w:rPr>
                <w:rFonts w:ascii="Times New Roman" w:eastAsia="Times New Roman" w:hAnsi="Times New Roman"/>
                <w:b/>
                <w:bCs/>
                <w:sz w:val="20"/>
                <w:szCs w:val="20"/>
                <w:lang w:eastAsia="et-EE"/>
              </w:rPr>
              <w:t>)</w:t>
            </w:r>
          </w:p>
        </w:tc>
        <w:tc>
          <w:tcPr>
            <w:tcW w:w="1209" w:type="dxa"/>
            <w:tcBorders>
              <w:top w:val="nil"/>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91 270 638</w:t>
            </w:r>
          </w:p>
        </w:tc>
        <w:tc>
          <w:tcPr>
            <w:tcW w:w="1209" w:type="dxa"/>
            <w:tcBorders>
              <w:top w:val="nil"/>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98 404 638</w:t>
            </w:r>
          </w:p>
        </w:tc>
        <w:tc>
          <w:tcPr>
            <w:tcW w:w="1209" w:type="dxa"/>
            <w:tcBorders>
              <w:top w:val="nil"/>
              <w:left w:val="single" w:sz="4" w:space="0" w:color="auto"/>
              <w:bottom w:val="single" w:sz="4" w:space="0" w:color="auto"/>
              <w:right w:val="nil"/>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99 895 678</w:t>
            </w:r>
          </w:p>
        </w:tc>
        <w:tc>
          <w:tcPr>
            <w:tcW w:w="118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97 293 678</w:t>
            </w:r>
          </w:p>
        </w:tc>
      </w:tr>
      <w:tr w:rsidR="00462F86" w:rsidRPr="007156CE" w:rsidTr="00E628D1">
        <w:trPr>
          <w:trHeight w:val="255"/>
        </w:trPr>
        <w:tc>
          <w:tcPr>
            <w:tcW w:w="4872" w:type="dxa"/>
            <w:tcBorders>
              <w:top w:val="nil"/>
              <w:left w:val="single" w:sz="8" w:space="0" w:color="auto"/>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rPr>
                <w:rFonts w:ascii="Times New Roman" w:eastAsia="Times New Roman" w:hAnsi="Times New Roman"/>
                <w:b/>
                <w:bCs/>
                <w:sz w:val="20"/>
                <w:szCs w:val="20"/>
                <w:lang w:eastAsia="et-EE"/>
              </w:rPr>
            </w:pPr>
            <w:r w:rsidRPr="007156CE">
              <w:rPr>
                <w:rFonts w:ascii="Times New Roman" w:eastAsia="Times New Roman" w:hAnsi="Times New Roman"/>
                <w:b/>
                <w:bCs/>
                <w:sz w:val="20"/>
                <w:szCs w:val="20"/>
                <w:lang w:eastAsia="et-EE"/>
              </w:rPr>
              <w:t>Netovõlakoormus (</w:t>
            </w:r>
            <w:r w:rsidRPr="007156CE">
              <w:rPr>
                <w:rFonts w:ascii="Times New Roman" w:eastAsia="Times New Roman" w:hAnsi="Times New Roman"/>
                <w:b/>
                <w:bCs/>
                <w:sz w:val="20"/>
                <w:szCs w:val="20"/>
                <w:u w:val="single"/>
                <w:lang w:eastAsia="et-EE"/>
              </w:rPr>
              <w:t>%</w:t>
            </w:r>
            <w:r w:rsidRPr="007156CE">
              <w:rPr>
                <w:rFonts w:ascii="Times New Roman" w:eastAsia="Times New Roman" w:hAnsi="Times New Roman"/>
                <w:b/>
                <w:bCs/>
                <w:sz w:val="20"/>
                <w:szCs w:val="20"/>
                <w:lang w:eastAsia="et-EE"/>
              </w:rPr>
              <w:t>)</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49,5%</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51,5%</w:t>
            </w:r>
          </w:p>
        </w:tc>
        <w:tc>
          <w:tcPr>
            <w:tcW w:w="1209" w:type="dxa"/>
            <w:tcBorders>
              <w:top w:val="nil"/>
              <w:left w:val="nil"/>
              <w:bottom w:val="single" w:sz="4" w:space="0" w:color="auto"/>
              <w:right w:val="single" w:sz="4"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50,3%</w:t>
            </w:r>
          </w:p>
        </w:tc>
        <w:tc>
          <w:tcPr>
            <w:tcW w:w="1181" w:type="dxa"/>
            <w:tcBorders>
              <w:top w:val="nil"/>
              <w:left w:val="nil"/>
              <w:bottom w:val="single" w:sz="4" w:space="0" w:color="auto"/>
              <w:right w:val="single" w:sz="8" w:space="0" w:color="auto"/>
            </w:tcBorders>
            <w:shd w:val="clear" w:color="auto" w:fill="auto"/>
            <w:vAlign w:val="bottom"/>
            <w:hideMark/>
          </w:tcPr>
          <w:p w:rsidR="00462F86" w:rsidRPr="007156CE" w:rsidRDefault="00462F86" w:rsidP="00E628D1">
            <w:pPr>
              <w:spacing w:after="0" w:line="240" w:lineRule="auto"/>
              <w:jc w:val="right"/>
              <w:rPr>
                <w:rFonts w:ascii="Times New Roman" w:eastAsia="Times New Roman" w:hAnsi="Times New Roman"/>
                <w:sz w:val="20"/>
                <w:szCs w:val="20"/>
                <w:lang w:eastAsia="et-EE"/>
              </w:rPr>
            </w:pPr>
            <w:r w:rsidRPr="007156CE">
              <w:rPr>
                <w:rFonts w:ascii="Times New Roman" w:eastAsia="Times New Roman" w:hAnsi="Times New Roman"/>
                <w:sz w:val="20"/>
                <w:szCs w:val="20"/>
                <w:lang w:eastAsia="et-EE"/>
              </w:rPr>
              <w:t>47,0%</w:t>
            </w:r>
          </w:p>
        </w:tc>
      </w:tr>
    </w:tbl>
    <w:p w:rsidR="00B11A3A" w:rsidRDefault="00A81FE6" w:rsidP="00B11A3A">
      <w:pPr>
        <w:jc w:val="both"/>
        <w:rPr>
          <w:rFonts w:ascii="Times New Roman" w:hAnsi="Times New Roman" w:cs="Times New Roman"/>
          <w:sz w:val="24"/>
          <w:szCs w:val="24"/>
        </w:rPr>
      </w:pPr>
      <w:r w:rsidRPr="00B11A3A">
        <w:rPr>
          <w:rFonts w:ascii="Times New Roman" w:hAnsi="Times New Roman" w:cs="Times New Roman"/>
          <w:color w:val="000000"/>
          <w:sz w:val="24"/>
          <w:szCs w:val="24"/>
        </w:rPr>
        <w:lastRenderedPageBreak/>
        <w:t xml:space="preserve">Linnavalitsus on koostanud finantsiliselt tasakaalustatud eelarvestrateegia, milles nähakse ette perioodi lõpuks eelarve ülejäägi saavutamine. </w:t>
      </w:r>
      <w:r w:rsidR="00400332" w:rsidRPr="00B11A3A">
        <w:rPr>
          <w:rFonts w:ascii="Times New Roman" w:hAnsi="Times New Roman" w:cs="Times New Roman"/>
          <w:color w:val="000000"/>
          <w:sz w:val="24"/>
          <w:szCs w:val="24"/>
        </w:rPr>
        <w:t>Eesmärgiks on vastutsükliline eelarvepoliitika, mis</w:t>
      </w:r>
      <w:r w:rsidRPr="00B11A3A">
        <w:rPr>
          <w:rFonts w:ascii="Times New Roman" w:hAnsi="Times New Roman" w:cs="Times New Roman"/>
          <w:color w:val="000000"/>
          <w:sz w:val="24"/>
          <w:szCs w:val="24"/>
        </w:rPr>
        <w:t xml:space="preserve"> tagab linna võimekuse lähitulevikus linnale oluliste suurte investeeringute teostamiseks. Finantseesmärkideks on lisaks eelarve tasakaalule veel põhitegevuse tulemi püsiv kasv ning netovõlakoormuse (protsendina põhitegevuse tuludest) kahanemine.</w:t>
      </w:r>
      <w:r w:rsidR="00B11A3A" w:rsidRPr="00B11A3A">
        <w:rPr>
          <w:rFonts w:ascii="Times New Roman" w:hAnsi="Times New Roman" w:cs="Times New Roman"/>
          <w:sz w:val="24"/>
          <w:szCs w:val="24"/>
        </w:rPr>
        <w:t xml:space="preserve"> </w:t>
      </w:r>
      <w:r w:rsidR="00B11A3A">
        <w:rPr>
          <w:rFonts w:ascii="Times New Roman" w:hAnsi="Times New Roman" w:cs="Times New Roman"/>
          <w:sz w:val="24"/>
          <w:szCs w:val="24"/>
        </w:rPr>
        <w:t>Eelarvestrateegia kohaselt jõuab linnaeelarve aastaks 2026 ülejääki. E</w:t>
      </w:r>
      <w:r w:rsidR="00B11A3A" w:rsidRPr="00B11A3A">
        <w:rPr>
          <w:rFonts w:ascii="Times New Roman" w:hAnsi="Times New Roman" w:cs="Times New Roman"/>
          <w:sz w:val="24"/>
          <w:szCs w:val="24"/>
        </w:rPr>
        <w:t>elarvepositsiooni parandamine toimub läbi põhitegevuse tulemi kasvu.</w:t>
      </w:r>
    </w:p>
    <w:p w:rsidR="00B11A3A" w:rsidRPr="00B11A3A" w:rsidRDefault="00B11A3A" w:rsidP="00A81FE6">
      <w:pPr>
        <w:jc w:val="both"/>
        <w:rPr>
          <w:rFonts w:ascii="Times New Roman" w:hAnsi="Times New Roman" w:cs="Times New Roman"/>
          <w:color w:val="000000"/>
          <w:sz w:val="24"/>
          <w:szCs w:val="24"/>
        </w:rPr>
      </w:pPr>
      <w:r w:rsidRPr="00177F7B">
        <w:rPr>
          <w:noProof/>
          <w:lang w:eastAsia="et-EE"/>
        </w:rPr>
        <w:drawing>
          <wp:inline distT="0" distB="0" distL="0" distR="0">
            <wp:extent cx="4913630" cy="2740025"/>
            <wp:effectExtent l="0" t="0" r="1270"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1A3A" w:rsidRDefault="00B11A3A" w:rsidP="00A81FE6">
      <w:pPr>
        <w:jc w:val="both"/>
        <w:rPr>
          <w:rFonts w:ascii="Times New Roman" w:hAnsi="Times New Roman" w:cs="Times New Roman"/>
          <w:sz w:val="24"/>
          <w:szCs w:val="24"/>
        </w:rPr>
      </w:pPr>
      <w:r>
        <w:rPr>
          <w:rFonts w:ascii="Times New Roman" w:hAnsi="Times New Roman" w:cs="Times New Roman"/>
          <w:sz w:val="24"/>
          <w:szCs w:val="24"/>
        </w:rPr>
        <w:t>V</w:t>
      </w:r>
      <w:r w:rsidRPr="00B11A3A">
        <w:rPr>
          <w:rFonts w:ascii="Times New Roman" w:hAnsi="Times New Roman" w:cs="Times New Roman"/>
          <w:sz w:val="24"/>
          <w:szCs w:val="24"/>
        </w:rPr>
        <w:t xml:space="preserve">õlakoormuse kasv </w:t>
      </w:r>
      <w:r w:rsidR="00462F86" w:rsidRPr="00B11A3A">
        <w:rPr>
          <w:rFonts w:ascii="Times New Roman" w:hAnsi="Times New Roman" w:cs="Times New Roman"/>
          <w:sz w:val="24"/>
          <w:szCs w:val="24"/>
        </w:rPr>
        <w:t xml:space="preserve">on </w:t>
      </w:r>
      <w:r w:rsidR="00462F86">
        <w:rPr>
          <w:rFonts w:ascii="Times New Roman" w:hAnsi="Times New Roman" w:cs="Times New Roman"/>
          <w:sz w:val="24"/>
          <w:szCs w:val="24"/>
        </w:rPr>
        <w:t>e</w:t>
      </w:r>
      <w:r w:rsidRPr="00B11A3A">
        <w:rPr>
          <w:rFonts w:ascii="Times New Roman" w:hAnsi="Times New Roman" w:cs="Times New Roman"/>
          <w:sz w:val="24"/>
          <w:szCs w:val="24"/>
        </w:rPr>
        <w:t>elarvestrateegia kohaselt mõõdukas ja ajas aeglustuv. Perioodi viimasel aastal hakkab võlakoormus vähenema. Võla absoluutsummast olulisem on selle suhe põhitegevuse tuludesse. Netovõlakoormuse protsent ehk netovõlakoormuse osakaal põhitegevuse tuludest püsib eelarvestrateegia perioodil stabiilne. Tartu linn on lähiminevikus laenanud ning kavandab ka eelarvestrateegia perioodil laenata vaid investeerimiseks ja/või olemasolevate laenukohustuste refinantseerimiseks.</w:t>
      </w:r>
    </w:p>
    <w:p w:rsidR="00462F86" w:rsidRDefault="00462F86" w:rsidP="00A81FE6">
      <w:pPr>
        <w:jc w:val="both"/>
        <w:rPr>
          <w:rFonts w:ascii="Times New Roman" w:hAnsi="Times New Roman" w:cs="Times New Roman"/>
          <w:sz w:val="24"/>
          <w:szCs w:val="24"/>
        </w:rPr>
      </w:pPr>
      <w:r>
        <w:rPr>
          <w:noProof/>
          <w:lang w:eastAsia="et-EE"/>
        </w:rPr>
        <w:drawing>
          <wp:inline distT="0" distB="0" distL="0" distR="0" wp14:anchorId="04953097" wp14:editId="26991543">
            <wp:extent cx="477202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62F86" w:rsidRDefault="00462F86" w:rsidP="00A81FE6">
      <w:pPr>
        <w:jc w:val="both"/>
        <w:rPr>
          <w:rFonts w:ascii="Times New Roman" w:hAnsi="Times New Roman" w:cs="Times New Roman"/>
          <w:sz w:val="24"/>
          <w:szCs w:val="24"/>
        </w:rPr>
      </w:pPr>
    </w:p>
    <w:p w:rsidR="006E109E" w:rsidRPr="00B11A3A" w:rsidRDefault="006E109E" w:rsidP="00A81FE6">
      <w:pPr>
        <w:jc w:val="both"/>
        <w:rPr>
          <w:rFonts w:ascii="Times New Roman" w:hAnsi="Times New Roman" w:cs="Times New Roman"/>
          <w:sz w:val="24"/>
          <w:szCs w:val="24"/>
        </w:rPr>
      </w:pPr>
      <w:r w:rsidRPr="00B11A3A">
        <w:rPr>
          <w:rFonts w:ascii="Times New Roman" w:hAnsi="Times New Roman" w:cs="Times New Roman"/>
          <w:sz w:val="24"/>
          <w:szCs w:val="24"/>
        </w:rPr>
        <w:lastRenderedPageBreak/>
        <w:t>Eelarvestrateegia märksõnadeks on haridus, kultuuripealinn ja rohepööre. Nimetatud kolm</w:t>
      </w:r>
      <w:r w:rsidR="006A4560" w:rsidRPr="00B11A3A">
        <w:rPr>
          <w:rFonts w:ascii="Times New Roman" w:hAnsi="Times New Roman" w:cs="Times New Roman"/>
          <w:sz w:val="24"/>
          <w:szCs w:val="24"/>
        </w:rPr>
        <w:t>e suuna väljaminekud moodustavad enamuse järgmise nelja aasta eelarvest.</w:t>
      </w:r>
    </w:p>
    <w:p w:rsidR="006A4560" w:rsidRPr="00B11A3A" w:rsidRDefault="006A4560" w:rsidP="00A81FE6">
      <w:pPr>
        <w:jc w:val="both"/>
        <w:rPr>
          <w:rFonts w:ascii="Times New Roman" w:hAnsi="Times New Roman" w:cs="Times New Roman"/>
          <w:sz w:val="24"/>
          <w:szCs w:val="24"/>
        </w:rPr>
      </w:pPr>
      <w:r w:rsidRPr="00B11A3A">
        <w:rPr>
          <w:rFonts w:ascii="Times New Roman" w:hAnsi="Times New Roman" w:cs="Times New Roman"/>
          <w:sz w:val="24"/>
          <w:szCs w:val="24"/>
        </w:rPr>
        <w:t xml:space="preserve">Tartu linn kavandab kõigi koolihoonete ulatuslikku parendamist aastaks 2032. Olulisimad tegevused on Karlova Kooli ja Veeriku Kooli rekonstrueerimine ning Ploomi tn 1 asuva olemasoleva lasteaiahoone rekonstrueerimine ning juurdeehituste rajamine Kroonuaia Kooli tarbeks. </w:t>
      </w:r>
    </w:p>
    <w:p w:rsidR="006A4560" w:rsidRPr="00B11A3A" w:rsidRDefault="006A4560" w:rsidP="00A81FE6">
      <w:pPr>
        <w:jc w:val="both"/>
        <w:rPr>
          <w:rFonts w:ascii="Times New Roman" w:hAnsi="Times New Roman" w:cs="Times New Roman"/>
          <w:sz w:val="24"/>
          <w:szCs w:val="24"/>
        </w:rPr>
      </w:pPr>
      <w:r w:rsidRPr="00B11A3A">
        <w:rPr>
          <w:rFonts w:ascii="Times New Roman" w:hAnsi="Times New Roman"/>
          <w:sz w:val="24"/>
          <w:szCs w:val="24"/>
        </w:rPr>
        <w:t>Välja on töötatud ka lasteaedade investeeringute kava</w:t>
      </w:r>
      <w:r w:rsidR="00A56008" w:rsidRPr="00B11A3A">
        <w:rPr>
          <w:rFonts w:ascii="Times New Roman" w:hAnsi="Times New Roman" w:cs="Times New Roman"/>
          <w:sz w:val="24"/>
          <w:szCs w:val="24"/>
        </w:rPr>
        <w:t xml:space="preserve">, mis </w:t>
      </w:r>
      <w:r w:rsidRPr="00B11A3A">
        <w:rPr>
          <w:rFonts w:ascii="Times New Roman" w:hAnsi="Times New Roman" w:cs="Times New Roman"/>
          <w:sz w:val="24"/>
          <w:szCs w:val="24"/>
        </w:rPr>
        <w:t>on ülesehitatud selliselt, et aastaks 2034 on rekonstrueeritud kõik lasteaiahooned. Iga-aastaselt on eesmärk rekonstrueerida 1-2 lasteaeda (erand on 2025).</w:t>
      </w:r>
      <w:r w:rsidR="00401D6D" w:rsidRPr="00B11A3A">
        <w:rPr>
          <w:rFonts w:ascii="Times New Roman" w:hAnsi="Times New Roman" w:cs="Times New Roman"/>
          <w:sz w:val="24"/>
          <w:szCs w:val="24"/>
        </w:rPr>
        <w:t xml:space="preserve"> Eelarvestrateegia perioodi jooksul on suuremahulisemad tööd kavas lasteaedades Meelespea, Ristikhein ja Hellik. </w:t>
      </w:r>
    </w:p>
    <w:p w:rsidR="00A56008" w:rsidRPr="00B11A3A" w:rsidRDefault="006E109E" w:rsidP="00A56008">
      <w:pPr>
        <w:jc w:val="both"/>
        <w:rPr>
          <w:rFonts w:ascii="Times New Roman" w:hAnsi="Times New Roman" w:cs="Times New Roman"/>
          <w:sz w:val="24"/>
          <w:szCs w:val="24"/>
        </w:rPr>
      </w:pPr>
      <w:r w:rsidRPr="00B11A3A">
        <w:rPr>
          <w:rFonts w:ascii="Times New Roman" w:hAnsi="Times New Roman" w:cs="Times New Roman"/>
          <w:sz w:val="24"/>
          <w:szCs w:val="24"/>
        </w:rPr>
        <w:t>Tartu viib aastatel 2019-2026 ellu rahvusvahelisele žüriile välja pakutud Euroopa kultuuripealinna tegevuskava, kusjuures rahaliselt langeb projekti põhi</w:t>
      </w:r>
      <w:r w:rsidR="00A56008" w:rsidRPr="00B11A3A">
        <w:rPr>
          <w:rFonts w:ascii="Times New Roman" w:hAnsi="Times New Roman" w:cs="Times New Roman"/>
          <w:sz w:val="24"/>
          <w:szCs w:val="24"/>
        </w:rPr>
        <w:t xml:space="preserve">koormus just käesoleva </w:t>
      </w:r>
      <w:r w:rsidRPr="00B11A3A">
        <w:rPr>
          <w:rFonts w:ascii="Times New Roman" w:hAnsi="Times New Roman" w:cs="Times New Roman"/>
          <w:sz w:val="24"/>
          <w:szCs w:val="24"/>
        </w:rPr>
        <w:t>eelarvestrateegia perioodile.</w:t>
      </w:r>
      <w:r w:rsidR="00A56008" w:rsidRPr="00B11A3A">
        <w:rPr>
          <w:rFonts w:ascii="Times New Roman" w:hAnsi="Times New Roman" w:cs="Times New Roman"/>
          <w:sz w:val="24"/>
          <w:szCs w:val="24"/>
        </w:rPr>
        <w:t xml:space="preserve"> Eesmärgiks on saada parima programmiga Euroopa kultuuripealinnaks. Tartu Euroopa kultuuripealinna 2024 pärandit jääb kandma Südalinna kultuurikeskus, mille keskse telje moodustavad riigile kuuluv Tartu Kunstimuuseum ja linna hallatav Tartu Linnaraamatukogu.</w:t>
      </w:r>
    </w:p>
    <w:p w:rsidR="00DC5DAC" w:rsidRPr="00B11A3A" w:rsidRDefault="00BC6632" w:rsidP="00A81FE6">
      <w:pPr>
        <w:jc w:val="both"/>
        <w:rPr>
          <w:rFonts w:ascii="Times New Roman" w:hAnsi="Times New Roman" w:cs="Times New Roman"/>
          <w:sz w:val="24"/>
          <w:szCs w:val="24"/>
        </w:rPr>
      </w:pPr>
      <w:r w:rsidRPr="00B11A3A">
        <w:rPr>
          <w:rFonts w:ascii="Times New Roman" w:hAnsi="Times New Roman" w:cs="Times New Roman"/>
          <w:sz w:val="24"/>
          <w:szCs w:val="24"/>
        </w:rPr>
        <w:t xml:space="preserve">Eelarvestrateegias kajastub tugevalt keskkonnateadliku käitumise aspekt, kuna </w:t>
      </w:r>
      <w:r w:rsidR="00A56008" w:rsidRPr="00B11A3A">
        <w:rPr>
          <w:rFonts w:ascii="Times New Roman" w:hAnsi="Times New Roman" w:cs="Times New Roman"/>
          <w:sz w:val="24"/>
          <w:szCs w:val="24"/>
        </w:rPr>
        <w:t>Tartu linna energia- ja kliimak</w:t>
      </w:r>
      <w:r w:rsidR="0035176F" w:rsidRPr="00B11A3A">
        <w:rPr>
          <w:rFonts w:ascii="Times New Roman" w:hAnsi="Times New Roman" w:cs="Times New Roman"/>
          <w:sz w:val="24"/>
          <w:szCs w:val="24"/>
        </w:rPr>
        <w:t>ava „Tartu energia 2030“</w:t>
      </w:r>
      <w:r w:rsidR="00A56008" w:rsidRPr="00B11A3A">
        <w:rPr>
          <w:rFonts w:ascii="Times New Roman" w:hAnsi="Times New Roman" w:cs="Times New Roman"/>
          <w:sz w:val="24"/>
          <w:szCs w:val="24"/>
        </w:rPr>
        <w:t xml:space="preserve"> elluviimine on järgnevate aastate jooksul </w:t>
      </w:r>
      <w:r w:rsidR="00636C8A" w:rsidRPr="00B11A3A">
        <w:rPr>
          <w:rFonts w:ascii="Times New Roman" w:hAnsi="Times New Roman" w:cs="Times New Roman"/>
          <w:sz w:val="24"/>
          <w:szCs w:val="24"/>
        </w:rPr>
        <w:t xml:space="preserve">linna jaoks </w:t>
      </w:r>
      <w:r w:rsidR="00A56008" w:rsidRPr="00B11A3A">
        <w:rPr>
          <w:rFonts w:ascii="Times New Roman" w:hAnsi="Times New Roman" w:cs="Times New Roman"/>
          <w:sz w:val="24"/>
          <w:szCs w:val="24"/>
        </w:rPr>
        <w:t xml:space="preserve">üheks võtmeülesandeks. Kava on seadnud ambitsioonikad eesmärgid ja Tartu linn peab saavutama süsinikuneutraalsuse </w:t>
      </w:r>
      <w:r w:rsidR="00F41A6D" w:rsidRPr="00B11A3A">
        <w:rPr>
          <w:rFonts w:ascii="Times New Roman" w:hAnsi="Times New Roman" w:cs="Times New Roman"/>
          <w:sz w:val="24"/>
          <w:szCs w:val="24"/>
        </w:rPr>
        <w:t xml:space="preserve">aastaks </w:t>
      </w:r>
      <w:r w:rsidR="00A56008" w:rsidRPr="00B11A3A">
        <w:rPr>
          <w:rFonts w:ascii="Times New Roman" w:hAnsi="Times New Roman" w:cs="Times New Roman"/>
          <w:sz w:val="24"/>
          <w:szCs w:val="24"/>
        </w:rPr>
        <w:t>2050. Olulist tähelepanu pööratakse taastuvenergia tootmisele ja tarbimisele, säästvate liikumisviiside arendamisele ja kohanemisele kliimamuutustega. Üks olulisemaid tegevusi kliimaneutraalsuse eesmärgi saavutamiseks on olemasolevate hoonete ja naabruskondade renoveerimine kliimaneutraalseteks piirkondadeks. Tõhustatakse hoonete energiakasutust, tagades seejuures nõutava sisekliima.</w:t>
      </w:r>
      <w:r w:rsidR="00DC5DAC" w:rsidRPr="00B11A3A">
        <w:rPr>
          <w:rFonts w:ascii="Times New Roman" w:hAnsi="Times New Roman" w:cs="Times New Roman"/>
          <w:sz w:val="24"/>
          <w:szCs w:val="24"/>
        </w:rPr>
        <w:t xml:space="preserve"> </w:t>
      </w:r>
      <w:r w:rsidR="00636C8A" w:rsidRPr="00B11A3A">
        <w:rPr>
          <w:rFonts w:ascii="Times New Roman" w:hAnsi="Times New Roman" w:cs="Times New Roman"/>
          <w:sz w:val="24"/>
          <w:szCs w:val="24"/>
        </w:rPr>
        <w:t>Kultuuripealinna projekti raames pööratakse suurt tähelepanu lo</w:t>
      </w:r>
      <w:r w:rsidR="00DC5DAC" w:rsidRPr="00B11A3A">
        <w:rPr>
          <w:rFonts w:ascii="Times New Roman" w:hAnsi="Times New Roman" w:cs="Times New Roman"/>
          <w:sz w:val="24"/>
          <w:szCs w:val="24"/>
        </w:rPr>
        <w:t>odusharidusele, linnaaiandusele, elurikkusele ning</w:t>
      </w:r>
      <w:r w:rsidR="00636C8A" w:rsidRPr="00B11A3A">
        <w:rPr>
          <w:rFonts w:ascii="Times New Roman" w:hAnsi="Times New Roman" w:cs="Times New Roman"/>
          <w:sz w:val="24"/>
          <w:szCs w:val="24"/>
        </w:rPr>
        <w:t xml:space="preserve"> pargialade ja linnalooduse ümberkujundamisele üldisemalt. </w:t>
      </w:r>
    </w:p>
    <w:p w:rsidR="00D15D4B" w:rsidRPr="00B11A3A" w:rsidRDefault="00D15D4B" w:rsidP="00A81FE6">
      <w:pPr>
        <w:jc w:val="both"/>
        <w:rPr>
          <w:rFonts w:ascii="Times New Roman" w:hAnsi="Times New Roman" w:cs="Times New Roman"/>
          <w:sz w:val="24"/>
          <w:szCs w:val="24"/>
        </w:rPr>
      </w:pPr>
      <w:r w:rsidRPr="00B11A3A">
        <w:rPr>
          <w:rFonts w:ascii="Times New Roman" w:hAnsi="Times New Roman" w:cs="Times New Roman"/>
          <w:sz w:val="24"/>
          <w:szCs w:val="24"/>
        </w:rPr>
        <w:t>Ühe peamise tegevusena autostumise vähendamiseks on planeeritud ehitada välja kogu linna ulatuses kahes etapis jalgrattateede võrgustik. Esimeses etapis (kuni 2024. aastani) rajatakse jalgrattateede võrgustik kesklinna piirkonnas ja teises etapis  (2028. aastaks) ülejäänud linnas. Linna tagamaa paremaks sidumiseks linnaga ja valglinnastumisest tingitud stabiilselt kasvava autoliikluse vähendamiseks on kavas rajada suurima sõiduautode koormusega punktidesse linna piiril liikuvuskeskused. Liikuvuskeskus on kavandatud ka kesklinna Riia tänavale (kaubanduskeskuste vahelisele alale).</w:t>
      </w:r>
    </w:p>
    <w:p w:rsidR="00BC6632" w:rsidRPr="00B11A3A" w:rsidRDefault="00BC6632" w:rsidP="00A81FE6">
      <w:pPr>
        <w:jc w:val="both"/>
        <w:rPr>
          <w:rFonts w:ascii="Times New Roman" w:hAnsi="Times New Roman" w:cs="Times New Roman"/>
          <w:sz w:val="24"/>
          <w:szCs w:val="24"/>
        </w:rPr>
      </w:pPr>
      <w:r w:rsidRPr="00B11A3A">
        <w:rPr>
          <w:rFonts w:ascii="Times New Roman" w:hAnsi="Times New Roman" w:cs="Times New Roman"/>
          <w:sz w:val="24"/>
          <w:szCs w:val="24"/>
        </w:rPr>
        <w:t>Tähtsal kohal on tartlaste sotsiaalne kaitstus. Kavas on Kalda tee 40 sotsiaalruume pakkuva munitsipaalmaja renoveerimine KredExi eeldatava toetuse kaasabil. Lisaks hoone üldise seisundi parendamisele tõstetakse energiatõhusust, vähendatakse kasvuhoonegaaside heidet, energia ja hoone ülalpidamiskulusid ning edendatakse taastuvenergia kasutamist. Anne Saunas teostatakse remonttööd. Vaksali 14 piirkonnakeskuse juurde rajatakse parkla. Mitmeid töid teostatakse Tartu Hooldekodus.</w:t>
      </w:r>
    </w:p>
    <w:p w:rsidR="007907CA" w:rsidRDefault="007907CA" w:rsidP="00A81FE6">
      <w:pPr>
        <w:jc w:val="both"/>
        <w:rPr>
          <w:rFonts w:ascii="Times New Roman" w:hAnsi="Times New Roman" w:cs="Times New Roman"/>
          <w:sz w:val="24"/>
          <w:szCs w:val="24"/>
        </w:rPr>
      </w:pPr>
      <w:r w:rsidRPr="00B11A3A">
        <w:rPr>
          <w:rFonts w:ascii="Times New Roman" w:hAnsi="Times New Roman" w:cs="Times New Roman"/>
          <w:sz w:val="24"/>
          <w:szCs w:val="24"/>
        </w:rPr>
        <w:t>Transpordiametiga koostöös toimub Tartu läänepoolse ümbersõidu (Riia ringi) II ehitusala ehitamine.</w:t>
      </w:r>
      <w:r w:rsidR="00FE436E" w:rsidRPr="00B11A3A">
        <w:rPr>
          <w:rFonts w:ascii="Times New Roman" w:hAnsi="Times New Roman" w:cs="Times New Roman"/>
          <w:sz w:val="24"/>
          <w:szCs w:val="24"/>
        </w:rPr>
        <w:t xml:space="preserve"> Tööde eeldatav algus on mai 2021 ja lõpp 2023. aasta alguses. Projekti kogueelarve on 29,2 mln eurot, millest linnaeelarvest kaetakse 2,5 mln eurot.</w:t>
      </w:r>
    </w:p>
    <w:p w:rsidR="00877A5C" w:rsidRDefault="00877A5C" w:rsidP="00A81FE6">
      <w:pPr>
        <w:jc w:val="both"/>
        <w:rPr>
          <w:rFonts w:ascii="Times New Roman" w:hAnsi="Times New Roman"/>
        </w:rPr>
      </w:pPr>
      <w:r w:rsidRPr="000B2215">
        <w:rPr>
          <w:rFonts w:ascii="Times New Roman" w:hAnsi="Times New Roman"/>
        </w:rPr>
        <w:lastRenderedPageBreak/>
        <w:t>Kokkuvõte põhilistest investeeringuobjektidest on esitatud alljärgnevas tabelis.</w:t>
      </w:r>
    </w:p>
    <w:tbl>
      <w:tblPr>
        <w:tblW w:w="96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1240"/>
        <w:gridCol w:w="1240"/>
        <w:gridCol w:w="1240"/>
        <w:gridCol w:w="1200"/>
      </w:tblGrid>
      <w:tr w:rsidR="00517224" w:rsidRPr="007531FB" w:rsidTr="00517224">
        <w:trPr>
          <w:trHeight w:hRule="exact" w:val="284"/>
        </w:trPr>
        <w:tc>
          <w:tcPr>
            <w:tcW w:w="4760" w:type="dxa"/>
            <w:shd w:val="clear" w:color="auto" w:fill="auto"/>
            <w:noWrap/>
            <w:vAlign w:val="bottom"/>
          </w:tcPr>
          <w:p w:rsidR="00517224" w:rsidRPr="007531FB" w:rsidRDefault="00517224" w:rsidP="00E628D1">
            <w:pPr>
              <w:spacing w:after="0" w:line="240" w:lineRule="auto"/>
              <w:rPr>
                <w:rFonts w:ascii="Times New Roman" w:eastAsia="Times New Roman" w:hAnsi="Times New Roman"/>
                <w:bCs/>
                <w:sz w:val="20"/>
                <w:szCs w:val="20"/>
                <w:lang w:eastAsia="et-EE"/>
              </w:rPr>
            </w:pPr>
          </w:p>
        </w:tc>
        <w:tc>
          <w:tcPr>
            <w:tcW w:w="1240" w:type="dxa"/>
            <w:shd w:val="clear" w:color="auto" w:fill="auto"/>
            <w:noWrap/>
            <w:vAlign w:val="bottom"/>
          </w:tcPr>
          <w:p w:rsidR="00517224" w:rsidRPr="007531FB" w:rsidRDefault="00517224" w:rsidP="00517224">
            <w:pPr>
              <w:spacing w:after="0" w:line="240" w:lineRule="auto"/>
              <w:jc w:val="center"/>
              <w:rPr>
                <w:rFonts w:ascii="Times New Roman" w:eastAsia="Times New Roman" w:hAnsi="Times New Roman"/>
                <w:bCs/>
                <w:sz w:val="20"/>
                <w:szCs w:val="20"/>
                <w:lang w:eastAsia="et-EE"/>
              </w:rPr>
            </w:pPr>
            <w:r>
              <w:rPr>
                <w:rFonts w:ascii="Times New Roman" w:eastAsia="Times New Roman" w:hAnsi="Times New Roman"/>
                <w:bCs/>
                <w:sz w:val="20"/>
                <w:szCs w:val="20"/>
                <w:lang w:eastAsia="et-EE"/>
              </w:rPr>
              <w:t>2022</w:t>
            </w:r>
          </w:p>
        </w:tc>
        <w:tc>
          <w:tcPr>
            <w:tcW w:w="1240" w:type="dxa"/>
            <w:shd w:val="clear" w:color="auto" w:fill="auto"/>
            <w:noWrap/>
            <w:vAlign w:val="bottom"/>
          </w:tcPr>
          <w:p w:rsidR="00517224" w:rsidRPr="007531FB" w:rsidRDefault="00517224" w:rsidP="00517224">
            <w:pPr>
              <w:spacing w:after="0" w:line="240" w:lineRule="auto"/>
              <w:jc w:val="center"/>
              <w:rPr>
                <w:rFonts w:ascii="Times New Roman" w:eastAsia="Times New Roman" w:hAnsi="Times New Roman"/>
                <w:bCs/>
                <w:sz w:val="20"/>
                <w:szCs w:val="20"/>
                <w:lang w:eastAsia="et-EE"/>
              </w:rPr>
            </w:pPr>
            <w:r>
              <w:rPr>
                <w:rFonts w:ascii="Times New Roman" w:eastAsia="Times New Roman" w:hAnsi="Times New Roman"/>
                <w:bCs/>
                <w:sz w:val="20"/>
                <w:szCs w:val="20"/>
                <w:lang w:eastAsia="et-EE"/>
              </w:rPr>
              <w:t>2023</w:t>
            </w:r>
          </w:p>
        </w:tc>
        <w:tc>
          <w:tcPr>
            <w:tcW w:w="1240" w:type="dxa"/>
            <w:shd w:val="clear" w:color="auto" w:fill="auto"/>
            <w:noWrap/>
            <w:vAlign w:val="bottom"/>
          </w:tcPr>
          <w:p w:rsidR="00517224" w:rsidRPr="007531FB" w:rsidRDefault="00517224" w:rsidP="00517224">
            <w:pPr>
              <w:spacing w:after="0" w:line="240" w:lineRule="auto"/>
              <w:jc w:val="center"/>
              <w:rPr>
                <w:rFonts w:ascii="Times New Roman" w:eastAsia="Times New Roman" w:hAnsi="Times New Roman"/>
                <w:bCs/>
                <w:sz w:val="20"/>
                <w:szCs w:val="20"/>
                <w:lang w:eastAsia="et-EE"/>
              </w:rPr>
            </w:pPr>
            <w:r>
              <w:rPr>
                <w:rFonts w:ascii="Times New Roman" w:eastAsia="Times New Roman" w:hAnsi="Times New Roman"/>
                <w:bCs/>
                <w:sz w:val="20"/>
                <w:szCs w:val="20"/>
                <w:lang w:eastAsia="et-EE"/>
              </w:rPr>
              <w:t>2024</w:t>
            </w:r>
          </w:p>
        </w:tc>
        <w:tc>
          <w:tcPr>
            <w:tcW w:w="1200" w:type="dxa"/>
            <w:shd w:val="clear" w:color="auto" w:fill="auto"/>
            <w:noWrap/>
            <w:vAlign w:val="bottom"/>
          </w:tcPr>
          <w:p w:rsidR="00517224" w:rsidRPr="007531FB" w:rsidRDefault="00517224" w:rsidP="00517224">
            <w:pPr>
              <w:spacing w:after="0" w:line="240" w:lineRule="auto"/>
              <w:jc w:val="center"/>
              <w:rPr>
                <w:rFonts w:ascii="Times New Roman" w:eastAsia="Times New Roman" w:hAnsi="Times New Roman"/>
                <w:bCs/>
                <w:sz w:val="20"/>
                <w:szCs w:val="20"/>
                <w:lang w:eastAsia="et-EE"/>
              </w:rPr>
            </w:pPr>
            <w:r>
              <w:rPr>
                <w:rFonts w:ascii="Times New Roman" w:eastAsia="Times New Roman" w:hAnsi="Times New Roman"/>
                <w:bCs/>
                <w:sz w:val="20"/>
                <w:szCs w:val="20"/>
                <w:lang w:eastAsia="et-EE"/>
              </w:rPr>
              <w:t>2025</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Läänepoolne II ehitusala koostöös Transpordiametiga</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2 500 000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Ujula tänava pikendus</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1 000 000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500 000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Ujula tn (Liiva- Linnaujula)</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700 000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Ülikooli tn (Riia-Vallikraavi)</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520 000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Põhja pst ja Muuseumi tee ühendamine</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165 000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500 000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Kvissentali tee ja Aruküla tee ristmik</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250 000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Tulbi tn (Viljandi mnt-Veeriku)</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715 000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Sõpruse sild</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2 500 000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2 500 000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Tartu-Rahinge KLT (Tüki-Rahinge)</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800 000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Näituse tn-Maarjamõisa kergliiklustee</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350 000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877A5C" w:rsidRPr="007531FB" w:rsidTr="00517224">
        <w:trPr>
          <w:trHeight w:hRule="exact" w:val="284"/>
        </w:trPr>
        <w:tc>
          <w:tcPr>
            <w:tcW w:w="4760" w:type="dxa"/>
            <w:shd w:val="clear" w:color="auto" w:fill="auto"/>
            <w:noWrap/>
            <w:vAlign w:val="bottom"/>
            <w:hideMark/>
          </w:tcPr>
          <w:p w:rsidR="00877A5C" w:rsidRPr="007531FB" w:rsidRDefault="00877A5C" w:rsidP="00E628D1">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Rattarendisüseemi arendamine</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430 000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430 000</w:t>
            </w:r>
          </w:p>
        </w:tc>
        <w:tc>
          <w:tcPr>
            <w:tcW w:w="124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430 000</w:t>
            </w:r>
          </w:p>
        </w:tc>
        <w:tc>
          <w:tcPr>
            <w:tcW w:w="1200" w:type="dxa"/>
            <w:shd w:val="clear" w:color="auto" w:fill="auto"/>
            <w:noWrap/>
            <w:vAlign w:val="bottom"/>
            <w:hideMark/>
          </w:tcPr>
          <w:p w:rsidR="00877A5C" w:rsidRPr="007531FB" w:rsidRDefault="00877A5C" w:rsidP="00E628D1">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430 000</w:t>
            </w:r>
          </w:p>
        </w:tc>
      </w:tr>
      <w:tr w:rsidR="00517224" w:rsidRPr="007531FB" w:rsidTr="00517224">
        <w:trPr>
          <w:trHeight w:hRule="exact" w:val="284"/>
        </w:trPr>
        <w:tc>
          <w:tcPr>
            <w:tcW w:w="4760" w:type="dxa"/>
            <w:shd w:val="clear" w:color="auto" w:fill="auto"/>
            <w:vAlign w:val="bottom"/>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Jalgrattateede põhivõrk</w:t>
            </w:r>
          </w:p>
        </w:tc>
        <w:tc>
          <w:tcPr>
            <w:tcW w:w="1240" w:type="dxa"/>
            <w:shd w:val="clear" w:color="auto" w:fill="auto"/>
            <w:noWrap/>
            <w:vAlign w:val="bottom"/>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5 000 000</w:t>
            </w:r>
          </w:p>
        </w:tc>
        <w:tc>
          <w:tcPr>
            <w:tcW w:w="1240" w:type="dxa"/>
            <w:shd w:val="clear" w:color="auto" w:fill="auto"/>
            <w:noWrap/>
            <w:vAlign w:val="bottom"/>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5 000 000</w:t>
            </w:r>
          </w:p>
        </w:tc>
        <w:tc>
          <w:tcPr>
            <w:tcW w:w="1200" w:type="dxa"/>
            <w:shd w:val="clear" w:color="auto" w:fill="auto"/>
            <w:noWrap/>
            <w:vAlign w:val="bottom"/>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5 000 000</w:t>
            </w:r>
          </w:p>
        </w:tc>
      </w:tr>
      <w:tr w:rsidR="00517224" w:rsidRPr="007531FB" w:rsidTr="00517224">
        <w:trPr>
          <w:trHeight w:hRule="exact" w:val="284"/>
        </w:trPr>
        <w:tc>
          <w:tcPr>
            <w:tcW w:w="4760" w:type="dxa"/>
            <w:shd w:val="clear" w:color="auto" w:fill="auto"/>
            <w:vAlign w:val="bottom"/>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Liikuvuskeskused</w:t>
            </w:r>
          </w:p>
        </w:tc>
        <w:tc>
          <w:tcPr>
            <w:tcW w:w="1240" w:type="dxa"/>
            <w:shd w:val="clear" w:color="auto" w:fill="auto"/>
            <w:noWrap/>
            <w:vAlign w:val="bottom"/>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1 900 000</w:t>
            </w:r>
          </w:p>
        </w:tc>
        <w:tc>
          <w:tcPr>
            <w:tcW w:w="1240" w:type="dxa"/>
            <w:shd w:val="clear" w:color="auto" w:fill="auto"/>
            <w:noWrap/>
            <w:vAlign w:val="bottom"/>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1 000 000</w:t>
            </w:r>
          </w:p>
        </w:tc>
        <w:tc>
          <w:tcPr>
            <w:tcW w:w="1200" w:type="dxa"/>
            <w:shd w:val="clear" w:color="auto" w:fill="auto"/>
            <w:noWrap/>
            <w:vAlign w:val="bottom"/>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1 000 000</w:t>
            </w:r>
          </w:p>
        </w:tc>
      </w:tr>
      <w:tr w:rsidR="00517224" w:rsidRPr="007531FB" w:rsidTr="00517224">
        <w:trPr>
          <w:trHeight w:hRule="exact" w:val="284"/>
        </w:trPr>
        <w:tc>
          <w:tcPr>
            <w:tcW w:w="4760" w:type="dxa"/>
            <w:shd w:val="clear" w:color="auto" w:fill="auto"/>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Avaliku bussiliiniveo reaalaja infosüsteem ja ootekojad</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250 000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450 000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450 000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450 000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Linnaujula</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400 000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 xml:space="preserve">Tiigi 12 hoone </w:t>
            </w:r>
            <w:r w:rsidRPr="007531FB">
              <w:rPr>
                <w:rFonts w:ascii="Times New Roman" w:eastAsia="Times New Roman" w:hAnsi="Times New Roman"/>
                <w:sz w:val="20"/>
                <w:szCs w:val="20"/>
                <w:lang w:eastAsia="et-EE"/>
              </w:rPr>
              <w:t>(perekonnaseisuamet)</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150 000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1 600 000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 xml:space="preserve">Kalda tee 40 </w:t>
            </w:r>
            <w:r w:rsidRPr="007531FB">
              <w:rPr>
                <w:rFonts w:ascii="Times New Roman" w:eastAsia="Times New Roman" w:hAnsi="Times New Roman"/>
                <w:sz w:val="20"/>
                <w:szCs w:val="20"/>
                <w:lang w:eastAsia="et-EE"/>
              </w:rPr>
              <w:t>(</w:t>
            </w:r>
            <w:r>
              <w:rPr>
                <w:rFonts w:ascii="Times New Roman" w:eastAsia="Times New Roman" w:hAnsi="Times New Roman"/>
                <w:sz w:val="20"/>
                <w:szCs w:val="20"/>
                <w:lang w:eastAsia="et-EE"/>
              </w:rPr>
              <w:t>munitsipaaleluruumid</w:t>
            </w:r>
            <w:r w:rsidRPr="007531FB">
              <w:rPr>
                <w:rFonts w:ascii="Times New Roman" w:eastAsia="Times New Roman" w:hAnsi="Times New Roman"/>
                <w:sz w:val="20"/>
                <w:szCs w:val="20"/>
                <w:lang w:eastAsia="et-EE"/>
              </w:rPr>
              <w:t>)</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200 000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1 061 000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Loomade varjupaik</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840 000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Südalinna kultuurikeskus</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200 000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1 000 000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1 000 000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1 000 000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Seltsimaja (Kuperjanovi 9)</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150 000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1 000 000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LA Hellik (Aardla 138)</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500 000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4 062 000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LA Ristikhein (Ropka 25)</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2 512 000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LA Meelespea (Ilmatsalu 24a)</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1 550 000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Karlova Kool (Lina 2)</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4 405 000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Veeriku Kool (Veeriku 41)</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100 000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130 000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3 200 000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7 500 000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Kroonuaia Kool (Ploomi 1)</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300 000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4 660 000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Tartu Karlova Kool (Salme 1a)</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4 900 000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Linnamuuseum, sh uus püsiekspositsioon</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180 000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2 970 000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503 040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0</w:t>
            </w:r>
          </w:p>
        </w:tc>
      </w:tr>
      <w:tr w:rsidR="00517224" w:rsidRPr="007531FB" w:rsidTr="00517224">
        <w:trPr>
          <w:trHeight w:hRule="exact" w:val="284"/>
        </w:trPr>
        <w:tc>
          <w:tcPr>
            <w:tcW w:w="4760" w:type="dxa"/>
            <w:shd w:val="clear" w:color="auto" w:fill="auto"/>
            <w:noWrap/>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Muud objektid</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19 042 000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14 086 000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18 450 000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21 285 000</w:t>
            </w:r>
          </w:p>
        </w:tc>
      </w:tr>
      <w:tr w:rsidR="00517224" w:rsidRPr="007531FB" w:rsidTr="00517224">
        <w:trPr>
          <w:trHeight w:hRule="exact" w:val="284"/>
        </w:trPr>
        <w:tc>
          <w:tcPr>
            <w:tcW w:w="4760" w:type="dxa"/>
            <w:shd w:val="clear" w:color="auto" w:fill="auto"/>
            <w:vAlign w:val="bottom"/>
            <w:hideMark/>
          </w:tcPr>
          <w:p w:rsidR="00517224" w:rsidRPr="007531FB" w:rsidRDefault="00517224" w:rsidP="00517224">
            <w:pPr>
              <w:spacing w:after="0" w:line="240" w:lineRule="auto"/>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KÕIK KOKKU</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35 389 000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43 254 000</w:t>
            </w:r>
          </w:p>
        </w:tc>
        <w:tc>
          <w:tcPr>
            <w:tcW w:w="124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36 348 040</w:t>
            </w:r>
          </w:p>
        </w:tc>
        <w:tc>
          <w:tcPr>
            <w:tcW w:w="1200" w:type="dxa"/>
            <w:shd w:val="clear" w:color="auto" w:fill="auto"/>
            <w:noWrap/>
            <w:vAlign w:val="bottom"/>
            <w:hideMark/>
          </w:tcPr>
          <w:p w:rsidR="00517224" w:rsidRPr="007531FB" w:rsidRDefault="00517224" w:rsidP="00517224">
            <w:pPr>
              <w:spacing w:after="0" w:line="240" w:lineRule="auto"/>
              <w:jc w:val="right"/>
              <w:rPr>
                <w:rFonts w:ascii="Times New Roman" w:eastAsia="Times New Roman" w:hAnsi="Times New Roman"/>
                <w:bCs/>
                <w:sz w:val="20"/>
                <w:szCs w:val="20"/>
                <w:lang w:eastAsia="et-EE"/>
              </w:rPr>
            </w:pPr>
            <w:r w:rsidRPr="007531FB">
              <w:rPr>
                <w:rFonts w:ascii="Times New Roman" w:eastAsia="Times New Roman" w:hAnsi="Times New Roman"/>
                <w:bCs/>
                <w:sz w:val="20"/>
                <w:szCs w:val="20"/>
                <w:lang w:eastAsia="et-EE"/>
              </w:rPr>
              <w:t>39 165 000</w:t>
            </w:r>
          </w:p>
        </w:tc>
      </w:tr>
    </w:tbl>
    <w:p w:rsidR="00877A5C" w:rsidRPr="00B11A3A" w:rsidRDefault="00877A5C" w:rsidP="00A81FE6">
      <w:pPr>
        <w:jc w:val="both"/>
        <w:rPr>
          <w:rFonts w:ascii="Times New Roman" w:hAnsi="Times New Roman" w:cs="Times New Roman"/>
          <w:sz w:val="24"/>
          <w:szCs w:val="24"/>
        </w:rPr>
      </w:pPr>
    </w:p>
    <w:sectPr w:rsidR="00877A5C" w:rsidRPr="00B11A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04" w:rsidRDefault="00246404" w:rsidP="006A4560">
      <w:pPr>
        <w:spacing w:after="0" w:line="240" w:lineRule="auto"/>
      </w:pPr>
      <w:r>
        <w:separator/>
      </w:r>
    </w:p>
  </w:endnote>
  <w:endnote w:type="continuationSeparator" w:id="0">
    <w:p w:rsidR="00246404" w:rsidRDefault="00246404" w:rsidP="006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04" w:rsidRDefault="00246404" w:rsidP="006A4560">
      <w:pPr>
        <w:spacing w:after="0" w:line="240" w:lineRule="auto"/>
      </w:pPr>
      <w:r>
        <w:separator/>
      </w:r>
    </w:p>
  </w:footnote>
  <w:footnote w:type="continuationSeparator" w:id="0">
    <w:p w:rsidR="00246404" w:rsidRDefault="00246404" w:rsidP="006A4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E6"/>
    <w:rsid w:val="00202946"/>
    <w:rsid w:val="00246404"/>
    <w:rsid w:val="0035176F"/>
    <w:rsid w:val="00400332"/>
    <w:rsid w:val="00401D6D"/>
    <w:rsid w:val="00462F86"/>
    <w:rsid w:val="00517224"/>
    <w:rsid w:val="00636C8A"/>
    <w:rsid w:val="006A4560"/>
    <w:rsid w:val="006E109E"/>
    <w:rsid w:val="007531FB"/>
    <w:rsid w:val="007907CA"/>
    <w:rsid w:val="007C4C13"/>
    <w:rsid w:val="007E0108"/>
    <w:rsid w:val="00877A5C"/>
    <w:rsid w:val="00A56008"/>
    <w:rsid w:val="00A81FE6"/>
    <w:rsid w:val="00B02DA5"/>
    <w:rsid w:val="00B11A3A"/>
    <w:rsid w:val="00BC6632"/>
    <w:rsid w:val="00D15D4B"/>
    <w:rsid w:val="00DC5DAC"/>
    <w:rsid w:val="00F41A6D"/>
    <w:rsid w:val="00FE43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2141"/>
  <w15:chartTrackingRefBased/>
  <w15:docId w15:val="{B3E0C954-7AF0-426C-BAA8-B5EC9D38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6A456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semiHidden/>
    <w:rsid w:val="006A4560"/>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6A4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ail.tartulv.ee\os$\ro\Osakond\Indrek\strateegia\2022-2025\Detailne%20eelarvestrateegia%202022-2025.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ail.tartulv.ee\os$\ro\Osakond\Indrek\strateegia\2022-2025\Detailne%20eelarvestrateegia%202022-202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Eelarve tulem (mln eurodes)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joonised!$A$53</c:f>
              <c:strCache>
                <c:ptCount val="1"/>
                <c:pt idx="0">
                  <c:v>Põhitegevuse tulem</c:v>
                </c:pt>
              </c:strCache>
            </c:strRef>
          </c:tx>
          <c:spPr>
            <a:solidFill>
              <a:schemeClr val="accent1"/>
            </a:solidFill>
            <a:ln>
              <a:noFill/>
            </a:ln>
            <a:effectLst/>
          </c:spPr>
          <c:invertIfNegative val="0"/>
          <c:cat>
            <c:numRef>
              <c:f>joonised!$B$52:$F$52</c:f>
              <c:numCache>
                <c:formatCode>General</c:formatCode>
                <c:ptCount val="5"/>
                <c:pt idx="0">
                  <c:v>2021</c:v>
                </c:pt>
                <c:pt idx="1">
                  <c:v>2022</c:v>
                </c:pt>
                <c:pt idx="2">
                  <c:v>2023</c:v>
                </c:pt>
                <c:pt idx="3">
                  <c:v>2024</c:v>
                </c:pt>
                <c:pt idx="4">
                  <c:v>2025</c:v>
                </c:pt>
              </c:numCache>
            </c:numRef>
          </c:cat>
          <c:val>
            <c:numRef>
              <c:f>joonised!$B$53:$F$53</c:f>
              <c:numCache>
                <c:formatCode>#,##0</c:formatCode>
                <c:ptCount val="5"/>
                <c:pt idx="0">
                  <c:v>12.243225000000001</c:v>
                </c:pt>
                <c:pt idx="1">
                  <c:v>18.498000000000001</c:v>
                </c:pt>
                <c:pt idx="2">
                  <c:v>20.952999999999999</c:v>
                </c:pt>
                <c:pt idx="3">
                  <c:v>22.24</c:v>
                </c:pt>
                <c:pt idx="4">
                  <c:v>29.085000000000001</c:v>
                </c:pt>
              </c:numCache>
            </c:numRef>
          </c:val>
          <c:extLst>
            <c:ext xmlns:c16="http://schemas.microsoft.com/office/drawing/2014/chart" uri="{C3380CC4-5D6E-409C-BE32-E72D297353CC}">
              <c16:uniqueId val="{00000000-23C5-4CF8-B9F2-598E9E8EB5FD}"/>
            </c:ext>
          </c:extLst>
        </c:ser>
        <c:ser>
          <c:idx val="1"/>
          <c:order val="1"/>
          <c:tx>
            <c:strRef>
              <c:f>joonised!$A$54</c:f>
              <c:strCache>
                <c:ptCount val="1"/>
                <c:pt idx="0">
                  <c:v>Investeerimistegevuse tulem</c:v>
                </c:pt>
              </c:strCache>
            </c:strRef>
          </c:tx>
          <c:spPr>
            <a:solidFill>
              <a:schemeClr val="accent2"/>
            </a:solidFill>
            <a:ln>
              <a:noFill/>
            </a:ln>
            <a:effectLst/>
          </c:spPr>
          <c:invertIfNegative val="0"/>
          <c:cat>
            <c:numRef>
              <c:f>joonised!$B$52:$F$52</c:f>
              <c:numCache>
                <c:formatCode>General</c:formatCode>
                <c:ptCount val="5"/>
                <c:pt idx="0">
                  <c:v>2021</c:v>
                </c:pt>
                <c:pt idx="1">
                  <c:v>2022</c:v>
                </c:pt>
                <c:pt idx="2">
                  <c:v>2023</c:v>
                </c:pt>
                <c:pt idx="3">
                  <c:v>2024</c:v>
                </c:pt>
                <c:pt idx="4">
                  <c:v>2025</c:v>
                </c:pt>
              </c:numCache>
            </c:numRef>
          </c:cat>
          <c:val>
            <c:numRef>
              <c:f>joonised!$B$54:$F$54</c:f>
              <c:numCache>
                <c:formatCode>#,##0</c:formatCode>
                <c:ptCount val="5"/>
                <c:pt idx="0">
                  <c:v>-22.14273</c:v>
                </c:pt>
                <c:pt idx="1">
                  <c:v>-23.850999999999999</c:v>
                </c:pt>
                <c:pt idx="2">
                  <c:v>-28.087</c:v>
                </c:pt>
                <c:pt idx="3">
                  <c:v>-23.73104</c:v>
                </c:pt>
                <c:pt idx="4">
                  <c:v>-26.483000000000001</c:v>
                </c:pt>
              </c:numCache>
            </c:numRef>
          </c:val>
          <c:extLst>
            <c:ext xmlns:c16="http://schemas.microsoft.com/office/drawing/2014/chart" uri="{C3380CC4-5D6E-409C-BE32-E72D297353CC}">
              <c16:uniqueId val="{00000001-23C5-4CF8-B9F2-598E9E8EB5FD}"/>
            </c:ext>
          </c:extLst>
        </c:ser>
        <c:dLbls>
          <c:showLegendKey val="0"/>
          <c:showVal val="0"/>
          <c:showCatName val="0"/>
          <c:showSerName val="0"/>
          <c:showPercent val="0"/>
          <c:showBubbleSize val="0"/>
        </c:dLbls>
        <c:gapWidth val="219"/>
        <c:overlap val="-27"/>
        <c:axId val="275327336"/>
        <c:axId val="275320120"/>
      </c:barChart>
      <c:lineChart>
        <c:grouping val="standard"/>
        <c:varyColors val="0"/>
        <c:ser>
          <c:idx val="2"/>
          <c:order val="2"/>
          <c:tx>
            <c:strRef>
              <c:f>joonised!$A$55</c:f>
              <c:strCache>
                <c:ptCount val="1"/>
                <c:pt idx="0">
                  <c:v>Eelarve tulem</c:v>
                </c:pt>
              </c:strCache>
            </c:strRef>
          </c:tx>
          <c:spPr>
            <a:ln w="28575" cap="rnd">
              <a:solidFill>
                <a:schemeClr val="accent3"/>
              </a:solidFill>
              <a:round/>
            </a:ln>
            <a:effectLst/>
          </c:spPr>
          <c:marker>
            <c:symbol val="none"/>
          </c:marker>
          <c:dLbls>
            <c:dLbl>
              <c:idx val="1"/>
              <c:layout>
                <c:manualLayout>
                  <c:x val="-5.0925337632079971E-17"/>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3C5-4CF8-B9F2-598E9E8EB5FD}"/>
                </c:ext>
              </c:extLst>
            </c:dLbl>
            <c:dLbl>
              <c:idx val="2"/>
              <c:layout>
                <c:manualLayout>
                  <c:x val="1.8978735442500824E-2"/>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3C5-4CF8-B9F2-598E9E8EB5FD}"/>
                </c:ext>
              </c:extLst>
            </c:dLbl>
            <c:dLbl>
              <c:idx val="3"/>
              <c:layout>
                <c:manualLayout>
                  <c:x val="9.7581485283027495E-17"/>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3C5-4CF8-B9F2-598E9E8EB5F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joonised!$B$52:$F$52</c:f>
              <c:numCache>
                <c:formatCode>General</c:formatCode>
                <c:ptCount val="5"/>
                <c:pt idx="0">
                  <c:v>2021</c:v>
                </c:pt>
                <c:pt idx="1">
                  <c:v>2022</c:v>
                </c:pt>
                <c:pt idx="2">
                  <c:v>2023</c:v>
                </c:pt>
                <c:pt idx="3">
                  <c:v>2024</c:v>
                </c:pt>
                <c:pt idx="4">
                  <c:v>2025</c:v>
                </c:pt>
              </c:numCache>
            </c:numRef>
          </c:cat>
          <c:val>
            <c:numRef>
              <c:f>joonised!$B$55:$F$55</c:f>
              <c:numCache>
                <c:formatCode>#,##0</c:formatCode>
                <c:ptCount val="5"/>
                <c:pt idx="0">
                  <c:v>-9.8995049999999996</c:v>
                </c:pt>
                <c:pt idx="1">
                  <c:v>-5.352999999999998</c:v>
                </c:pt>
                <c:pt idx="2">
                  <c:v>-7.1340000000000003</c:v>
                </c:pt>
                <c:pt idx="3">
                  <c:v>-1.4910400000000017</c:v>
                </c:pt>
                <c:pt idx="4">
                  <c:v>2.6020000000000003</c:v>
                </c:pt>
              </c:numCache>
            </c:numRef>
          </c:val>
          <c:smooth val="0"/>
          <c:extLst>
            <c:ext xmlns:c16="http://schemas.microsoft.com/office/drawing/2014/chart" uri="{C3380CC4-5D6E-409C-BE32-E72D297353CC}">
              <c16:uniqueId val="{00000005-23C5-4CF8-B9F2-598E9E8EB5FD}"/>
            </c:ext>
          </c:extLst>
        </c:ser>
        <c:dLbls>
          <c:showLegendKey val="0"/>
          <c:showVal val="0"/>
          <c:showCatName val="0"/>
          <c:showSerName val="0"/>
          <c:showPercent val="0"/>
          <c:showBubbleSize val="0"/>
        </c:dLbls>
        <c:marker val="1"/>
        <c:smooth val="0"/>
        <c:axId val="275327336"/>
        <c:axId val="275320120"/>
      </c:lineChart>
      <c:catAx>
        <c:axId val="27532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5320120"/>
        <c:crosses val="autoZero"/>
        <c:auto val="1"/>
        <c:lblAlgn val="ctr"/>
        <c:lblOffset val="100"/>
        <c:noMultiLvlLbl val="0"/>
      </c:catAx>
      <c:valAx>
        <c:axId val="275320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5327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Netovõlakoormus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joonised!$A$8</c:f>
              <c:strCache>
                <c:ptCount val="1"/>
                <c:pt idx="0">
                  <c:v>Netovõlakoormus (mln)</c:v>
                </c:pt>
              </c:strCache>
            </c:strRef>
          </c:tx>
          <c:spPr>
            <a:solidFill>
              <a:schemeClr val="accent1"/>
            </a:solidFill>
            <a:ln>
              <a:noFill/>
            </a:ln>
            <a:effectLst/>
          </c:spPr>
          <c:invertIfNegative val="0"/>
          <c:dLbls>
            <c:dLbl>
              <c:idx val="0"/>
              <c:layout>
                <c:manualLayout>
                  <c:x val="0"/>
                  <c:y val="0.1759259259259259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3F0-47CA-AF80-7DA56D9B073A}"/>
                </c:ext>
              </c:extLst>
            </c:dLbl>
            <c:dLbl>
              <c:idx val="1"/>
              <c:layout>
                <c:manualLayout>
                  <c:x val="4.8790742641513747E-17"/>
                  <c:y val="0.1805555555555555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F0-47CA-AF80-7DA56D9B073A}"/>
                </c:ext>
              </c:extLst>
            </c:dLbl>
            <c:dLbl>
              <c:idx val="2"/>
              <c:layout>
                <c:manualLayout>
                  <c:x val="5.3226879574184965E-3"/>
                  <c:y val="0.2037037037037037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3F0-47CA-AF80-7DA56D9B073A}"/>
                </c:ext>
              </c:extLst>
            </c:dLbl>
            <c:dLbl>
              <c:idx val="3"/>
              <c:layout>
                <c:manualLayout>
                  <c:x val="0"/>
                  <c:y val="0.2083333333333333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3F0-47CA-AF80-7DA56D9B073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joonised!$C$2:$F$2</c:f>
              <c:numCache>
                <c:formatCode>General</c:formatCode>
                <c:ptCount val="4"/>
                <c:pt idx="0">
                  <c:v>2022</c:v>
                </c:pt>
                <c:pt idx="1">
                  <c:v>2023</c:v>
                </c:pt>
                <c:pt idx="2">
                  <c:v>2024</c:v>
                </c:pt>
                <c:pt idx="3">
                  <c:v>2025</c:v>
                </c:pt>
              </c:numCache>
            </c:numRef>
          </c:cat>
          <c:val>
            <c:numRef>
              <c:f>joonised!$B$8:$E$8</c:f>
              <c:numCache>
                <c:formatCode>General</c:formatCode>
                <c:ptCount val="4"/>
                <c:pt idx="0">
                  <c:v>91.269958099999997</c:v>
                </c:pt>
                <c:pt idx="1">
                  <c:v>98.403958099999997</c:v>
                </c:pt>
                <c:pt idx="2">
                  <c:v>99.894998099999995</c:v>
                </c:pt>
                <c:pt idx="3">
                  <c:v>97.292998099999991</c:v>
                </c:pt>
              </c:numCache>
            </c:numRef>
          </c:val>
          <c:extLst>
            <c:ext xmlns:c16="http://schemas.microsoft.com/office/drawing/2014/chart" uri="{C3380CC4-5D6E-409C-BE32-E72D297353CC}">
              <c16:uniqueId val="{00000004-43F0-47CA-AF80-7DA56D9B073A}"/>
            </c:ext>
          </c:extLst>
        </c:ser>
        <c:dLbls>
          <c:showLegendKey val="0"/>
          <c:showVal val="0"/>
          <c:showCatName val="0"/>
          <c:showSerName val="0"/>
          <c:showPercent val="0"/>
          <c:showBubbleSize val="0"/>
        </c:dLbls>
        <c:gapWidth val="219"/>
        <c:overlap val="-27"/>
        <c:axId val="469976096"/>
        <c:axId val="469981344"/>
      </c:barChart>
      <c:lineChart>
        <c:grouping val="standard"/>
        <c:varyColors val="0"/>
        <c:ser>
          <c:idx val="1"/>
          <c:order val="1"/>
          <c:tx>
            <c:strRef>
              <c:f>joonised!$A$9</c:f>
              <c:strCache>
                <c:ptCount val="1"/>
                <c:pt idx="0">
                  <c:v>Netovõlakoormus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joonised!$C$2:$F$2</c:f>
              <c:numCache>
                <c:formatCode>General</c:formatCode>
                <c:ptCount val="4"/>
                <c:pt idx="0">
                  <c:v>2022</c:v>
                </c:pt>
                <c:pt idx="1">
                  <c:v>2023</c:v>
                </c:pt>
                <c:pt idx="2">
                  <c:v>2024</c:v>
                </c:pt>
                <c:pt idx="3">
                  <c:v>2025</c:v>
                </c:pt>
              </c:numCache>
            </c:numRef>
          </c:cat>
          <c:val>
            <c:numRef>
              <c:f>joonised!$B$9:$E$9</c:f>
              <c:numCache>
                <c:formatCode>0%</c:formatCode>
                <c:ptCount val="4"/>
                <c:pt idx="0">
                  <c:v>0.49469348231417137</c:v>
                </c:pt>
                <c:pt idx="1">
                  <c:v>0.51533077825433482</c:v>
                </c:pt>
                <c:pt idx="2">
                  <c:v>0.50286429585405634</c:v>
                </c:pt>
                <c:pt idx="3">
                  <c:v>0.47044629418306655</c:v>
                </c:pt>
              </c:numCache>
            </c:numRef>
          </c:val>
          <c:smooth val="0"/>
          <c:extLst>
            <c:ext xmlns:c16="http://schemas.microsoft.com/office/drawing/2014/chart" uri="{C3380CC4-5D6E-409C-BE32-E72D297353CC}">
              <c16:uniqueId val="{00000005-43F0-47CA-AF80-7DA56D9B073A}"/>
            </c:ext>
          </c:extLst>
        </c:ser>
        <c:dLbls>
          <c:showLegendKey val="0"/>
          <c:showVal val="0"/>
          <c:showCatName val="0"/>
          <c:showSerName val="0"/>
          <c:showPercent val="0"/>
          <c:showBubbleSize val="0"/>
        </c:dLbls>
        <c:marker val="1"/>
        <c:smooth val="0"/>
        <c:axId val="448286712"/>
        <c:axId val="448283104"/>
      </c:lineChart>
      <c:catAx>
        <c:axId val="46997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69981344"/>
        <c:crosses val="autoZero"/>
        <c:auto val="1"/>
        <c:lblAlgn val="ctr"/>
        <c:lblOffset val="100"/>
        <c:noMultiLvlLbl val="0"/>
      </c:catAx>
      <c:valAx>
        <c:axId val="46998134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69976096"/>
        <c:crosses val="autoZero"/>
        <c:crossBetween val="between"/>
      </c:valAx>
      <c:valAx>
        <c:axId val="448283104"/>
        <c:scaling>
          <c:orientation val="minMax"/>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48286712"/>
        <c:crosses val="max"/>
        <c:crossBetween val="between"/>
      </c:valAx>
      <c:catAx>
        <c:axId val="448286712"/>
        <c:scaling>
          <c:orientation val="minMax"/>
        </c:scaling>
        <c:delete val="1"/>
        <c:axPos val="b"/>
        <c:numFmt formatCode="General" sourceLinked="1"/>
        <c:majorTickMark val="out"/>
        <c:minorTickMark val="none"/>
        <c:tickLblPos val="nextTo"/>
        <c:crossAx val="44828310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90</TotalTime>
  <Pages>4</Pages>
  <Words>1352</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Kuusk</dc:creator>
  <cp:keywords/>
  <dc:description/>
  <cp:lastModifiedBy>Indrek Kuusk</cp:lastModifiedBy>
  <cp:revision>17</cp:revision>
  <dcterms:created xsi:type="dcterms:W3CDTF">2021-06-09T09:49:00Z</dcterms:created>
  <dcterms:modified xsi:type="dcterms:W3CDTF">2021-06-15T10:38:00Z</dcterms:modified>
</cp:coreProperties>
</file>